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BCB0AF" w14:textId="3D1E6C56" w:rsidR="00700EF5" w:rsidRPr="004E2F3A" w:rsidRDefault="00700EF5" w:rsidP="00700EF5">
      <w:pPr>
        <w:pStyle w:val="3GPPHeader"/>
        <w:spacing w:after="60"/>
        <w:rPr>
          <w:sz w:val="32"/>
          <w:szCs w:val="32"/>
        </w:rPr>
      </w:pPr>
      <w:r w:rsidRPr="00CE0424">
        <w:t>3GPP TSG-RAN WG</w:t>
      </w:r>
      <w:r>
        <w:t>2</w:t>
      </w:r>
      <w:r w:rsidRPr="00CE0424">
        <w:t xml:space="preserve"> #</w:t>
      </w:r>
      <w:r w:rsidR="006D1E26">
        <w:t>10</w:t>
      </w:r>
      <w:r w:rsidR="006A3207">
        <w:t>2</w:t>
      </w:r>
      <w:r w:rsidRPr="00CE0424">
        <w:tab/>
      </w:r>
      <w:r w:rsidRPr="00CE0424">
        <w:rPr>
          <w:sz w:val="32"/>
          <w:szCs w:val="32"/>
        </w:rPr>
        <w:t>R2-</w:t>
      </w:r>
      <w:r w:rsidR="00C15A97" w:rsidRPr="004E2F3A">
        <w:rPr>
          <w:sz w:val="32"/>
          <w:szCs w:val="32"/>
        </w:rPr>
        <w:t>1807810</w:t>
      </w:r>
    </w:p>
    <w:p w14:paraId="4DD31805" w14:textId="50726886" w:rsidR="00700EF5" w:rsidRPr="00CE0424" w:rsidRDefault="006A3207" w:rsidP="00700EF5">
      <w:pPr>
        <w:pStyle w:val="3GPPHeader"/>
      </w:pPr>
      <w:r>
        <w:t>Busan</w:t>
      </w:r>
      <w:r w:rsidR="005E03C7" w:rsidRPr="005E03C7">
        <w:t>,</w:t>
      </w:r>
      <w:r w:rsidR="00D323F0">
        <w:t xml:space="preserve"> </w:t>
      </w:r>
      <w:r>
        <w:t xml:space="preserve">Republic </w:t>
      </w:r>
      <w:r w:rsidR="00B34996">
        <w:t xml:space="preserve">of </w:t>
      </w:r>
      <w:r>
        <w:t>Korea</w:t>
      </w:r>
      <w:r w:rsidR="00700EF5" w:rsidRPr="004A782B">
        <w:t xml:space="preserve">, </w:t>
      </w:r>
      <w:r>
        <w:t>21</w:t>
      </w:r>
      <w:r>
        <w:rPr>
          <w:vertAlign w:val="superscript"/>
        </w:rPr>
        <w:t>st</w:t>
      </w:r>
      <w:r w:rsidR="00B34996">
        <w:t xml:space="preserve"> </w:t>
      </w:r>
      <w:r w:rsidR="00700EF5" w:rsidRPr="00631CA0">
        <w:t xml:space="preserve">– </w:t>
      </w:r>
      <w:r w:rsidR="00D323F0">
        <w:t>2</w:t>
      </w:r>
      <w:r>
        <w:t>5</w:t>
      </w:r>
      <w:r w:rsidR="00B34996" w:rsidRPr="00B34996">
        <w:rPr>
          <w:vertAlign w:val="superscript"/>
        </w:rPr>
        <w:t>th</w:t>
      </w:r>
      <w:r w:rsidR="00B34996">
        <w:t xml:space="preserve"> </w:t>
      </w:r>
      <w:r>
        <w:t>May</w:t>
      </w:r>
      <w:r w:rsidR="00700EF5">
        <w:t xml:space="preserve"> </w:t>
      </w:r>
      <w:r w:rsidR="00700EF5" w:rsidRPr="00631CA0">
        <w:t>201</w:t>
      </w:r>
      <w:r w:rsidR="000151AE">
        <w:t>8</w:t>
      </w:r>
    </w:p>
    <w:p w14:paraId="364D479E" w14:textId="77777777" w:rsidR="00E90E49" w:rsidRPr="00CE0424" w:rsidRDefault="00E90E49" w:rsidP="00357380">
      <w:pPr>
        <w:pStyle w:val="3GPPHeader"/>
      </w:pPr>
    </w:p>
    <w:p w14:paraId="4DC13D08" w14:textId="2EFA4C34" w:rsidR="00E90E49" w:rsidRPr="00CB4523" w:rsidRDefault="00E90E49" w:rsidP="00311702">
      <w:pPr>
        <w:pStyle w:val="3GPPHeader"/>
        <w:rPr>
          <w:sz w:val="22"/>
          <w:szCs w:val="22"/>
          <w:lang w:val="en-US"/>
        </w:rPr>
      </w:pPr>
      <w:r w:rsidRPr="00CB4523">
        <w:rPr>
          <w:sz w:val="22"/>
          <w:szCs w:val="22"/>
          <w:lang w:val="en-US"/>
        </w:rPr>
        <w:t>Agenda Item:</w:t>
      </w:r>
      <w:r w:rsidRPr="00CB4523">
        <w:rPr>
          <w:sz w:val="22"/>
          <w:szCs w:val="22"/>
          <w:lang w:val="en-US"/>
        </w:rPr>
        <w:tab/>
      </w:r>
      <w:r w:rsidR="00DC74ED" w:rsidRPr="00CB4523">
        <w:rPr>
          <w:sz w:val="22"/>
          <w:szCs w:val="22"/>
          <w:lang w:val="en-US"/>
        </w:rPr>
        <w:t>9.14.8</w:t>
      </w:r>
    </w:p>
    <w:p w14:paraId="094F446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10118B6" w14:textId="6C3610B3" w:rsidR="00E90E49" w:rsidRPr="00CE0424" w:rsidRDefault="003D3C45" w:rsidP="00311702">
      <w:pPr>
        <w:pStyle w:val="3GPPHeader"/>
        <w:rPr>
          <w:sz w:val="22"/>
          <w:szCs w:val="22"/>
        </w:rPr>
      </w:pPr>
      <w:r>
        <w:rPr>
          <w:sz w:val="22"/>
          <w:szCs w:val="22"/>
        </w:rPr>
        <w:t>Title:</w:t>
      </w:r>
      <w:r w:rsidR="00E90E49" w:rsidRPr="00CE0424">
        <w:rPr>
          <w:sz w:val="22"/>
          <w:szCs w:val="22"/>
        </w:rPr>
        <w:tab/>
      </w:r>
      <w:r w:rsidR="001F38C5">
        <w:rPr>
          <w:sz w:val="22"/>
          <w:szCs w:val="22"/>
        </w:rPr>
        <w:t>Early sub-PRB allocation</w:t>
      </w:r>
    </w:p>
    <w:p w14:paraId="621DD56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AF39C8">
        <w:rPr>
          <w:sz w:val="22"/>
          <w:szCs w:val="22"/>
        </w:rPr>
        <w:t>Discussion, Decision</w:t>
      </w:r>
    </w:p>
    <w:p w14:paraId="2D90E813" w14:textId="2D65F1E0" w:rsidR="00C24345" w:rsidRDefault="00E90E49" w:rsidP="00A2052C">
      <w:pPr>
        <w:pStyle w:val="Heading1"/>
      </w:pPr>
      <w:r w:rsidRPr="00CE0424">
        <w:t>Introduction</w:t>
      </w:r>
    </w:p>
    <w:p w14:paraId="132ECB70" w14:textId="6D5B1C07" w:rsidR="00DC74ED" w:rsidRDefault="00DC74ED" w:rsidP="00DC74ED">
      <w:bookmarkStart w:id="0" w:name="_Ref178064866"/>
      <w:r>
        <w:t xml:space="preserve">In the revised WID for </w:t>
      </w:r>
      <w:proofErr w:type="spellStart"/>
      <w:r>
        <w:t>efeMTC</w:t>
      </w:r>
      <w:proofErr w:type="spellEnd"/>
      <w:r>
        <w:t xml:space="preserve"> for LTE </w:t>
      </w:r>
      <w:r>
        <w:fldChar w:fldCharType="begin"/>
      </w:r>
      <w:r>
        <w:instrText xml:space="preserve"> REF _Ref509220437 \n \h </w:instrText>
      </w:r>
      <w:r>
        <w:fldChar w:fldCharType="separate"/>
      </w:r>
      <w:r w:rsidR="004D785E">
        <w:t>[1]</w:t>
      </w:r>
      <w:r>
        <w:fldChar w:fldCharType="end"/>
      </w:r>
      <w:r>
        <w:t xml:space="preserve">, the following improvement is listed as one of the objectives under “Improved spectral efficiency”: </w:t>
      </w:r>
    </w:p>
    <w:tbl>
      <w:tblPr>
        <w:tblStyle w:val="TableGrid"/>
        <w:tblW w:w="0" w:type="auto"/>
        <w:tblLook w:val="04A0" w:firstRow="1" w:lastRow="0" w:firstColumn="1" w:lastColumn="0" w:noHBand="0" w:noVBand="1"/>
      </w:tblPr>
      <w:tblGrid>
        <w:gridCol w:w="9629"/>
      </w:tblGrid>
      <w:tr w:rsidR="00DC74ED" w14:paraId="0802A6F5" w14:textId="77777777" w:rsidTr="00A24386">
        <w:tc>
          <w:tcPr>
            <w:tcW w:w="9629" w:type="dxa"/>
          </w:tcPr>
          <w:p w14:paraId="053F3180" w14:textId="77777777" w:rsidR="00DC74ED" w:rsidRPr="00F5218C" w:rsidRDefault="00DC74ED" w:rsidP="00DC74ED">
            <w:pPr>
              <w:numPr>
                <w:ilvl w:val="0"/>
                <w:numId w:val="17"/>
              </w:numPr>
              <w:overflowPunct/>
              <w:autoSpaceDE/>
              <w:autoSpaceDN/>
              <w:adjustRightInd/>
              <w:spacing w:after="180"/>
              <w:ind w:right="-99"/>
              <w:jc w:val="left"/>
              <w:textAlignment w:val="auto"/>
              <w:rPr>
                <w:rFonts w:eastAsia="SimSun"/>
                <w:lang w:eastAsia="ja-JP"/>
              </w:rPr>
            </w:pPr>
            <w:r w:rsidRPr="00F5218C">
              <w:rPr>
                <w:rFonts w:eastAsia="SimSun"/>
                <w:lang w:eastAsia="ja-JP"/>
              </w:rPr>
              <w:t xml:space="preserve">Increased PUSCH spectral efficiency </w:t>
            </w:r>
            <w:r w:rsidRPr="00F5218C">
              <w:rPr>
                <w:rFonts w:eastAsia="SimSun"/>
                <w:color w:val="808080"/>
                <w:lang w:eastAsia="ja-JP"/>
              </w:rPr>
              <w:t>[RAN1 lead, RAN2, RAN4]</w:t>
            </w:r>
          </w:p>
          <w:p w14:paraId="645ABC9C" w14:textId="77777777" w:rsidR="00DC74ED" w:rsidRPr="009B453A" w:rsidRDefault="00DC74ED" w:rsidP="00DC74ED">
            <w:pPr>
              <w:numPr>
                <w:ilvl w:val="0"/>
                <w:numId w:val="18"/>
              </w:numPr>
              <w:overflowPunct/>
              <w:autoSpaceDE/>
              <w:autoSpaceDN/>
              <w:adjustRightInd/>
              <w:spacing w:after="180"/>
              <w:ind w:right="-99"/>
              <w:jc w:val="left"/>
              <w:textAlignment w:val="auto"/>
              <w:rPr>
                <w:rFonts w:eastAsia="SimSun"/>
                <w:lang w:eastAsia="ja-JP"/>
              </w:rPr>
            </w:pPr>
            <w:r w:rsidRPr="005D2F49">
              <w:rPr>
                <w:rFonts w:eastAsia="SimSun"/>
                <w:lang w:eastAsia="ja-JP"/>
              </w:rPr>
              <w:t>E.g. sub-PRB resource allocation, with no less than 3 subcarriers within a sub-PRB allocation.</w:t>
            </w:r>
          </w:p>
        </w:tc>
      </w:tr>
    </w:tbl>
    <w:p w14:paraId="7EF76F0E" w14:textId="77777777" w:rsidR="00DC74ED" w:rsidRDefault="00DC74ED" w:rsidP="00C717E1">
      <w:pPr>
        <w:pStyle w:val="Doc-text2"/>
        <w:ind w:left="0" w:firstLine="0"/>
      </w:pPr>
    </w:p>
    <w:p w14:paraId="756C6AA3" w14:textId="77777777" w:rsidR="00DC74ED" w:rsidRDefault="00DC74ED" w:rsidP="00DC74ED">
      <w:r>
        <w:t>RAN1 has discussed increased PUSCH spectral efficiency starting in RAN1#89 through RAN1#92. Partial list of RAN1 agreements potentially affecting RAN2 discussions can be found below:</w:t>
      </w:r>
    </w:p>
    <w:p w14:paraId="5B43E779" w14:textId="77777777" w:rsidR="00DC74ED" w:rsidRDefault="00DC74ED" w:rsidP="00DC74ED">
      <w:r>
        <w:t>The following agreement was made in RAN1#90:</w:t>
      </w:r>
    </w:p>
    <w:tbl>
      <w:tblPr>
        <w:tblStyle w:val="TableGrid"/>
        <w:tblW w:w="0" w:type="auto"/>
        <w:tblLook w:val="04A0" w:firstRow="1" w:lastRow="0" w:firstColumn="1" w:lastColumn="0" w:noHBand="0" w:noVBand="1"/>
      </w:tblPr>
      <w:tblGrid>
        <w:gridCol w:w="9629"/>
      </w:tblGrid>
      <w:tr w:rsidR="00DC74ED" w14:paraId="349D8E59" w14:textId="77777777" w:rsidTr="00A24386">
        <w:tc>
          <w:tcPr>
            <w:tcW w:w="9629" w:type="dxa"/>
          </w:tcPr>
          <w:p w14:paraId="5713FB53" w14:textId="77777777" w:rsidR="00DC74ED" w:rsidRPr="00044F52" w:rsidRDefault="00DC74ED" w:rsidP="00DC74ED">
            <w:pPr>
              <w:numPr>
                <w:ilvl w:val="0"/>
                <w:numId w:val="19"/>
              </w:numPr>
              <w:overflowPunct/>
              <w:autoSpaceDE/>
              <w:autoSpaceDN/>
              <w:adjustRightInd/>
              <w:spacing w:after="0"/>
              <w:jc w:val="left"/>
              <w:textAlignment w:val="auto"/>
              <w:rPr>
                <w:rFonts w:cs="Arial"/>
              </w:rPr>
            </w:pPr>
            <w:r w:rsidRPr="00EB0F81">
              <w:rPr>
                <w:rFonts w:cs="Arial"/>
              </w:rPr>
              <w:t>Sub-PRB allocation method shall be specified</w:t>
            </w:r>
          </w:p>
        </w:tc>
      </w:tr>
    </w:tbl>
    <w:p w14:paraId="1B6AB517" w14:textId="77777777" w:rsidR="00DC74ED" w:rsidRDefault="00DC74ED" w:rsidP="00DC74ED"/>
    <w:p w14:paraId="67B1F524" w14:textId="77777777" w:rsidR="00DC74ED" w:rsidRDefault="00DC74ED" w:rsidP="00DC74ED">
      <w:r>
        <w:t>The following agreements were made in RAN1#90bis:</w:t>
      </w:r>
    </w:p>
    <w:tbl>
      <w:tblPr>
        <w:tblStyle w:val="TableGrid"/>
        <w:tblW w:w="0" w:type="auto"/>
        <w:tblLook w:val="04A0" w:firstRow="1" w:lastRow="0" w:firstColumn="1" w:lastColumn="0" w:noHBand="0" w:noVBand="1"/>
      </w:tblPr>
      <w:tblGrid>
        <w:gridCol w:w="9629"/>
      </w:tblGrid>
      <w:tr w:rsidR="00DC74ED" w14:paraId="6DCC33D4" w14:textId="77777777" w:rsidTr="00A24386">
        <w:tc>
          <w:tcPr>
            <w:tcW w:w="9629" w:type="dxa"/>
          </w:tcPr>
          <w:p w14:paraId="3116525A" w14:textId="77777777" w:rsidR="00DC74ED" w:rsidRPr="004A380B" w:rsidRDefault="00DC74ED" w:rsidP="00DC74ED">
            <w:pPr>
              <w:numPr>
                <w:ilvl w:val="0"/>
                <w:numId w:val="19"/>
              </w:numPr>
              <w:overflowPunct/>
              <w:autoSpaceDE/>
              <w:autoSpaceDN/>
              <w:adjustRightInd/>
              <w:spacing w:after="0"/>
              <w:jc w:val="left"/>
              <w:textAlignment w:val="auto"/>
              <w:rPr>
                <w:rFonts w:cs="Arial"/>
              </w:rPr>
            </w:pPr>
            <w:r w:rsidRPr="004A380B">
              <w:rPr>
                <w:rFonts w:cs="Arial"/>
              </w:rPr>
              <w:t>Sub-PRB shall be supported at least in CE Mode B</w:t>
            </w:r>
          </w:p>
          <w:p w14:paraId="40620C3B" w14:textId="77777777" w:rsidR="00DC74ED" w:rsidRPr="004A380B" w:rsidRDefault="00DC74ED" w:rsidP="00DC74ED">
            <w:pPr>
              <w:numPr>
                <w:ilvl w:val="0"/>
                <w:numId w:val="19"/>
              </w:numPr>
              <w:overflowPunct/>
              <w:autoSpaceDE/>
              <w:autoSpaceDN/>
              <w:adjustRightInd/>
              <w:spacing w:after="0"/>
              <w:jc w:val="left"/>
              <w:textAlignment w:val="auto"/>
              <w:rPr>
                <w:rFonts w:cs="Arial"/>
              </w:rPr>
            </w:pPr>
            <w:r w:rsidRPr="004A380B">
              <w:rPr>
                <w:rFonts w:cs="Arial"/>
              </w:rPr>
              <w:t>Working assumption: Sub-PRB shall be supported in CE Mode A.</w:t>
            </w:r>
          </w:p>
          <w:p w14:paraId="0C7BFC7E" w14:textId="77777777" w:rsidR="00DC74ED" w:rsidRPr="004A380B" w:rsidRDefault="00DC74ED" w:rsidP="00DC74ED">
            <w:pPr>
              <w:numPr>
                <w:ilvl w:val="1"/>
                <w:numId w:val="19"/>
              </w:numPr>
              <w:overflowPunct/>
              <w:autoSpaceDE/>
              <w:autoSpaceDN/>
              <w:adjustRightInd/>
              <w:spacing w:after="0"/>
              <w:jc w:val="left"/>
              <w:textAlignment w:val="auto"/>
              <w:rPr>
                <w:rFonts w:cs="Arial"/>
              </w:rPr>
            </w:pPr>
            <w:r w:rsidRPr="004A380B">
              <w:rPr>
                <w:rFonts w:cs="Arial"/>
              </w:rPr>
              <w:t>RAN1 will prioritize optimization of Sub-PRB for CE Mode B over optimization of Sub-PRB for CE Mode A.</w:t>
            </w:r>
          </w:p>
          <w:p w14:paraId="0B922513" w14:textId="77777777" w:rsidR="00DC74ED" w:rsidRPr="004A380B" w:rsidRDefault="00DC74ED" w:rsidP="00DC74ED">
            <w:pPr>
              <w:numPr>
                <w:ilvl w:val="0"/>
                <w:numId w:val="19"/>
              </w:numPr>
              <w:overflowPunct/>
              <w:autoSpaceDE/>
              <w:autoSpaceDN/>
              <w:adjustRightInd/>
              <w:spacing w:after="0"/>
              <w:jc w:val="left"/>
              <w:textAlignment w:val="auto"/>
              <w:rPr>
                <w:rFonts w:cs="Arial"/>
              </w:rPr>
            </w:pPr>
            <w:r w:rsidRPr="004A380B">
              <w:rPr>
                <w:rFonts w:cs="Arial"/>
              </w:rPr>
              <w:t>For Sub-PRB, the maximum total number of (valid) subframes of transmission is:</w:t>
            </w:r>
            <w:r w:rsidRPr="001261BD">
              <w:rPr>
                <w:rFonts w:eastAsia="MS Mincho" w:cs="Arial"/>
                <w:iCs/>
                <w:color w:val="FF0000"/>
                <w:lang w:eastAsia="ja-JP"/>
              </w:rPr>
              <w:t xml:space="preserve"> </w:t>
            </w:r>
          </w:p>
          <w:p w14:paraId="00A4FF55" w14:textId="77777777" w:rsidR="00DC74ED" w:rsidRPr="004A380B" w:rsidRDefault="00DC74ED" w:rsidP="00DC74ED">
            <w:pPr>
              <w:numPr>
                <w:ilvl w:val="1"/>
                <w:numId w:val="19"/>
              </w:numPr>
              <w:overflowPunct/>
              <w:autoSpaceDE/>
              <w:autoSpaceDN/>
              <w:adjustRightInd/>
              <w:spacing w:after="0"/>
              <w:jc w:val="left"/>
              <w:textAlignment w:val="auto"/>
              <w:rPr>
                <w:rFonts w:cs="Arial"/>
              </w:rPr>
            </w:pPr>
            <w:r w:rsidRPr="004A380B">
              <w:rPr>
                <w:rFonts w:cs="Arial"/>
              </w:rPr>
              <w:t>32 subframes for CE Mode A</w:t>
            </w:r>
          </w:p>
          <w:p w14:paraId="54E4008C" w14:textId="77777777" w:rsidR="00DC74ED" w:rsidRPr="004A380B" w:rsidRDefault="00DC74ED" w:rsidP="00DC74ED">
            <w:pPr>
              <w:numPr>
                <w:ilvl w:val="1"/>
                <w:numId w:val="19"/>
              </w:numPr>
              <w:overflowPunct/>
              <w:autoSpaceDE/>
              <w:autoSpaceDN/>
              <w:adjustRightInd/>
              <w:spacing w:after="0"/>
              <w:jc w:val="left"/>
              <w:textAlignment w:val="auto"/>
              <w:rPr>
                <w:rFonts w:cs="Arial"/>
              </w:rPr>
            </w:pPr>
            <w:r w:rsidRPr="004A380B">
              <w:rPr>
                <w:rFonts w:cs="Arial"/>
              </w:rPr>
              <w:t>2048 subframes for CE Mode B</w:t>
            </w:r>
          </w:p>
          <w:p w14:paraId="49F5DC31" w14:textId="77777777" w:rsidR="00DC74ED" w:rsidRDefault="00DC74ED" w:rsidP="00DC74ED">
            <w:pPr>
              <w:numPr>
                <w:ilvl w:val="0"/>
                <w:numId w:val="19"/>
              </w:numPr>
              <w:overflowPunct/>
              <w:autoSpaceDE/>
              <w:autoSpaceDN/>
              <w:adjustRightInd/>
              <w:spacing w:after="0"/>
              <w:jc w:val="left"/>
              <w:textAlignment w:val="auto"/>
              <w:rPr>
                <w:rFonts w:cs="Arial"/>
              </w:rPr>
            </w:pPr>
            <w:r w:rsidRPr="004A380B">
              <w:rPr>
                <w:rFonts w:cs="Arial"/>
              </w:rPr>
              <w:t>FFS: Supported transport block sizes and numbers of repetitions (for each supported CE Mode)</w:t>
            </w:r>
          </w:p>
          <w:p w14:paraId="780D273A" w14:textId="77777777" w:rsidR="00DC74ED" w:rsidRPr="004A380B" w:rsidRDefault="00DC74ED" w:rsidP="00A24386">
            <w:pPr>
              <w:spacing w:after="0"/>
              <w:ind w:left="720"/>
              <w:rPr>
                <w:rFonts w:cs="Arial"/>
              </w:rPr>
            </w:pPr>
          </w:p>
          <w:p w14:paraId="2BA6DDB3" w14:textId="77777777" w:rsidR="00DC74ED" w:rsidRDefault="00DC74ED" w:rsidP="00A24386">
            <w:pPr>
              <w:spacing w:after="0"/>
              <w:ind w:left="360"/>
              <w:rPr>
                <w:rFonts w:cs="Arial"/>
              </w:rPr>
            </w:pPr>
            <w:r w:rsidRPr="00ED73B5">
              <w:rPr>
                <w:rFonts w:cs="Arial"/>
              </w:rPr>
              <w:t>&lt;omitted</w:t>
            </w:r>
            <w:r>
              <w:rPr>
                <w:rFonts w:cs="Arial"/>
              </w:rPr>
              <w:t xml:space="preserve"> agreements</w:t>
            </w:r>
            <w:r w:rsidRPr="00ED73B5">
              <w:rPr>
                <w:rFonts w:cs="Arial"/>
              </w:rPr>
              <w:t>&gt;</w:t>
            </w:r>
          </w:p>
          <w:p w14:paraId="3B93D8CB" w14:textId="77777777" w:rsidR="00DC74ED" w:rsidRDefault="00DC74ED" w:rsidP="00A24386">
            <w:pPr>
              <w:spacing w:after="0"/>
              <w:rPr>
                <w:rFonts w:cs="Arial"/>
              </w:rPr>
            </w:pPr>
          </w:p>
          <w:p w14:paraId="31F0C980" w14:textId="77777777" w:rsidR="00DC74ED" w:rsidRPr="004A380B" w:rsidRDefault="00DC74ED" w:rsidP="00DC74ED">
            <w:pPr>
              <w:numPr>
                <w:ilvl w:val="0"/>
                <w:numId w:val="19"/>
              </w:numPr>
              <w:overflowPunct/>
              <w:autoSpaceDE/>
              <w:autoSpaceDN/>
              <w:adjustRightInd/>
              <w:spacing w:after="0"/>
              <w:jc w:val="left"/>
              <w:textAlignment w:val="auto"/>
              <w:rPr>
                <w:rFonts w:cs="Arial"/>
              </w:rPr>
            </w:pPr>
            <w:r w:rsidRPr="004A380B">
              <w:rPr>
                <w:rFonts w:cs="Arial"/>
              </w:rPr>
              <w:t>For Sub-PRB allocation in connected mode,</w:t>
            </w:r>
          </w:p>
          <w:p w14:paraId="7D6F0099" w14:textId="77777777" w:rsidR="00DC74ED" w:rsidRPr="004A380B" w:rsidRDefault="00DC74ED" w:rsidP="00DC74ED">
            <w:pPr>
              <w:numPr>
                <w:ilvl w:val="1"/>
                <w:numId w:val="19"/>
              </w:numPr>
              <w:overflowPunct/>
              <w:autoSpaceDE/>
              <w:autoSpaceDN/>
              <w:adjustRightInd/>
              <w:spacing w:after="0"/>
              <w:jc w:val="left"/>
              <w:textAlignment w:val="auto"/>
              <w:rPr>
                <w:rFonts w:cs="Arial"/>
              </w:rPr>
            </w:pPr>
            <w:r w:rsidRPr="004A380B">
              <w:rPr>
                <w:rFonts w:cs="Arial"/>
              </w:rPr>
              <w:t xml:space="preserve">The Sub-PRB feature is configured/enabled by RRC </w:t>
            </w:r>
            <w:proofErr w:type="spellStart"/>
            <w:r w:rsidRPr="004A380B">
              <w:rPr>
                <w:rFonts w:cs="Arial"/>
              </w:rPr>
              <w:t>signaling</w:t>
            </w:r>
            <w:proofErr w:type="spellEnd"/>
            <w:r>
              <w:rPr>
                <w:rFonts w:cs="Arial"/>
              </w:rPr>
              <w:t xml:space="preserve"> </w:t>
            </w:r>
          </w:p>
          <w:p w14:paraId="2676EA44" w14:textId="77777777" w:rsidR="00DC74ED" w:rsidRPr="004A380B" w:rsidRDefault="00DC74ED" w:rsidP="00DC74ED">
            <w:pPr>
              <w:numPr>
                <w:ilvl w:val="1"/>
                <w:numId w:val="19"/>
              </w:numPr>
              <w:overflowPunct/>
              <w:autoSpaceDE/>
              <w:autoSpaceDN/>
              <w:adjustRightInd/>
              <w:spacing w:after="0"/>
              <w:jc w:val="left"/>
              <w:textAlignment w:val="auto"/>
              <w:rPr>
                <w:rFonts w:cs="Arial"/>
              </w:rPr>
            </w:pPr>
            <w:r w:rsidRPr="004A380B">
              <w:rPr>
                <w:rFonts w:cs="Arial"/>
              </w:rPr>
              <w:t xml:space="preserve">The Sub-PRB resource allocation shall be </w:t>
            </w:r>
            <w:proofErr w:type="spellStart"/>
            <w:r w:rsidRPr="004A380B">
              <w:rPr>
                <w:rFonts w:cs="Arial"/>
              </w:rPr>
              <w:t>signaled</w:t>
            </w:r>
            <w:proofErr w:type="spellEnd"/>
            <w:r w:rsidRPr="004A380B">
              <w:rPr>
                <w:rFonts w:cs="Arial"/>
              </w:rPr>
              <w:t xml:space="preserve"> by DCI</w:t>
            </w:r>
          </w:p>
          <w:p w14:paraId="3B05EFC5" w14:textId="77777777" w:rsidR="00DC74ED" w:rsidRPr="00044F52" w:rsidRDefault="00DC74ED" w:rsidP="00DC74ED">
            <w:pPr>
              <w:numPr>
                <w:ilvl w:val="0"/>
                <w:numId w:val="19"/>
              </w:numPr>
              <w:overflowPunct/>
              <w:autoSpaceDE/>
              <w:autoSpaceDN/>
              <w:adjustRightInd/>
              <w:spacing w:after="0"/>
              <w:jc w:val="left"/>
              <w:textAlignment w:val="auto"/>
              <w:rPr>
                <w:rFonts w:cs="Arial"/>
              </w:rPr>
            </w:pPr>
            <w:r w:rsidRPr="004A380B">
              <w:rPr>
                <w:rFonts w:cs="Arial"/>
              </w:rPr>
              <w:t>FFS: Support of Sub-PRB allocation in Msg3</w:t>
            </w:r>
            <w:r w:rsidRPr="00044F52">
              <w:rPr>
                <w:rFonts w:eastAsia="MS Mincho" w:cs="Arial"/>
                <w:iCs/>
                <w:color w:val="FF0000"/>
                <w:lang w:eastAsia="ja-JP"/>
              </w:rPr>
              <w:t xml:space="preserve"> </w:t>
            </w:r>
          </w:p>
        </w:tc>
      </w:tr>
    </w:tbl>
    <w:p w14:paraId="4DED2EFF" w14:textId="77777777" w:rsidR="00DC74ED" w:rsidRDefault="00DC74ED" w:rsidP="00DC74ED"/>
    <w:p w14:paraId="1F30C488" w14:textId="0B5FF296" w:rsidR="00DC74ED" w:rsidRDefault="00DC74ED" w:rsidP="00DC74ED">
      <w:r>
        <w:t>The following agreement wa</w:t>
      </w:r>
      <w:r w:rsidR="00CB4523">
        <w:t>s</w:t>
      </w:r>
      <w:r>
        <w:t xml:space="preserve"> made in RAN1#91:</w:t>
      </w:r>
    </w:p>
    <w:tbl>
      <w:tblPr>
        <w:tblStyle w:val="TableGrid"/>
        <w:tblW w:w="0" w:type="auto"/>
        <w:tblLook w:val="04A0" w:firstRow="1" w:lastRow="0" w:firstColumn="1" w:lastColumn="0" w:noHBand="0" w:noVBand="1"/>
      </w:tblPr>
      <w:tblGrid>
        <w:gridCol w:w="9629"/>
      </w:tblGrid>
      <w:tr w:rsidR="00DC74ED" w14:paraId="05FE46B7" w14:textId="77777777" w:rsidTr="00A24386">
        <w:tc>
          <w:tcPr>
            <w:tcW w:w="9629" w:type="dxa"/>
          </w:tcPr>
          <w:p w14:paraId="2CF04B5B" w14:textId="77777777" w:rsidR="00DC74ED" w:rsidRPr="00A34198" w:rsidRDefault="00DC74ED" w:rsidP="00DC74ED">
            <w:pPr>
              <w:numPr>
                <w:ilvl w:val="0"/>
                <w:numId w:val="19"/>
              </w:numPr>
              <w:overflowPunct/>
              <w:autoSpaceDE/>
              <w:autoSpaceDN/>
              <w:adjustRightInd/>
              <w:spacing w:after="0"/>
              <w:jc w:val="left"/>
              <w:textAlignment w:val="auto"/>
              <w:rPr>
                <w:rFonts w:cs="Arial"/>
              </w:rPr>
            </w:pPr>
            <w:r>
              <w:rPr>
                <w:rFonts w:cs="Arial"/>
              </w:rPr>
              <w:t>Confirm RAN1#90bis working assumption</w:t>
            </w:r>
            <w:r w:rsidRPr="00A34198">
              <w:rPr>
                <w:rFonts w:cs="Arial"/>
              </w:rPr>
              <w:t>: Sub-PRB shall be supported in CE Mode A.</w:t>
            </w:r>
          </w:p>
          <w:p w14:paraId="1987B382" w14:textId="77777777" w:rsidR="00DC74ED" w:rsidRPr="00044F52" w:rsidRDefault="00DC74ED" w:rsidP="00DC74ED">
            <w:pPr>
              <w:numPr>
                <w:ilvl w:val="1"/>
                <w:numId w:val="19"/>
              </w:numPr>
              <w:overflowPunct/>
              <w:autoSpaceDE/>
              <w:autoSpaceDN/>
              <w:adjustRightInd/>
              <w:spacing w:after="0"/>
              <w:jc w:val="left"/>
              <w:textAlignment w:val="auto"/>
              <w:rPr>
                <w:rFonts w:cs="Arial"/>
              </w:rPr>
            </w:pPr>
            <w:r w:rsidRPr="00A34198">
              <w:rPr>
                <w:rFonts w:cs="Arial"/>
              </w:rPr>
              <w:t>RAN1 will prioritize optimization of Sub-PRB for CE Mode B over optimization of Sub-PRB for CE Mode A</w:t>
            </w:r>
          </w:p>
        </w:tc>
      </w:tr>
    </w:tbl>
    <w:p w14:paraId="06EB8EB6" w14:textId="29A27B0C" w:rsidR="00DC74ED" w:rsidRDefault="00DC74ED" w:rsidP="00DC74ED">
      <w:pPr>
        <w:tabs>
          <w:tab w:val="left" w:pos="6255"/>
        </w:tabs>
      </w:pPr>
    </w:p>
    <w:p w14:paraId="3CDF343B" w14:textId="1E491D0B" w:rsidR="00C717E1" w:rsidRDefault="00C717E1" w:rsidP="00C717E1">
      <w:pPr>
        <w:tabs>
          <w:tab w:val="left" w:pos="6255"/>
        </w:tabs>
      </w:pPr>
      <w:r>
        <w:t xml:space="preserve">RAN1#92 and RAN1#92bis resulted in number of additional agreements, but these are not listed above as they seem to not directly affect RAN2 discussion. Summary of the agreements until after the previous meetings in </w:t>
      </w:r>
      <w:r w:rsidR="00561124">
        <w:t>April</w:t>
      </w:r>
      <w:r>
        <w:t xml:space="preserve"> can be found in </w:t>
      </w:r>
      <w:r w:rsidR="003E38EA">
        <w:rPr>
          <w:highlight w:val="yellow"/>
        </w:rPr>
        <w:fldChar w:fldCharType="begin"/>
      </w:r>
      <w:r w:rsidR="003E38EA">
        <w:instrText xml:space="preserve"> REF _Ref513761321 \n \h </w:instrText>
      </w:r>
      <w:r w:rsidR="003E38EA">
        <w:rPr>
          <w:highlight w:val="yellow"/>
        </w:rPr>
      </w:r>
      <w:r w:rsidR="003E38EA">
        <w:rPr>
          <w:highlight w:val="yellow"/>
        </w:rPr>
        <w:fldChar w:fldCharType="separate"/>
      </w:r>
      <w:r w:rsidR="003E38EA">
        <w:t>[2]</w:t>
      </w:r>
      <w:r w:rsidR="003E38EA">
        <w:rPr>
          <w:highlight w:val="yellow"/>
        </w:rPr>
        <w:fldChar w:fldCharType="end"/>
      </w:r>
      <w:r w:rsidR="003E38EA">
        <w:t>.</w:t>
      </w:r>
    </w:p>
    <w:p w14:paraId="031914BE" w14:textId="0BDE722B" w:rsidR="003C3F62" w:rsidRDefault="003C3F62" w:rsidP="00DC74ED">
      <w:pPr>
        <w:tabs>
          <w:tab w:val="left" w:pos="6255"/>
        </w:tabs>
      </w:pPr>
      <w:r>
        <w:lastRenderedPageBreak/>
        <w:t xml:space="preserve">RAN2#101bis discussed sub-PRB and reached an agreement to capture text proposals in </w:t>
      </w:r>
      <w:r>
        <w:fldChar w:fldCharType="begin"/>
      </w:r>
      <w:r>
        <w:instrText xml:space="preserve"> REF _Ref513498842 \n \h </w:instrText>
      </w:r>
      <w:r>
        <w:fldChar w:fldCharType="separate"/>
      </w:r>
      <w:r w:rsidR="004D785E">
        <w:t>[3]</w:t>
      </w:r>
      <w:r>
        <w:fldChar w:fldCharType="end"/>
      </w:r>
      <w:r>
        <w:t xml:space="preserve"> in the running CRs. The TPs introduced UE capability and configuration of sub-PRB allocation. </w:t>
      </w:r>
      <w:r w:rsidR="00C26712">
        <w:t xml:space="preserve">These have been captured in running TS 36.331 CR for eMTC, with additional configuration parameters indicated by RAN1 in </w:t>
      </w:r>
      <w:r w:rsidR="007C2B9D">
        <w:fldChar w:fldCharType="begin"/>
      </w:r>
      <w:r w:rsidR="007C2B9D">
        <w:instrText xml:space="preserve"> REF _Ref513499987 \n \h </w:instrText>
      </w:r>
      <w:r w:rsidR="007C2B9D">
        <w:fldChar w:fldCharType="separate"/>
      </w:r>
      <w:r w:rsidR="004D785E">
        <w:t>[5]</w:t>
      </w:r>
      <w:r w:rsidR="007C2B9D">
        <w:fldChar w:fldCharType="end"/>
      </w:r>
      <w:r w:rsidR="007C2B9D">
        <w:t>.</w:t>
      </w:r>
    </w:p>
    <w:p w14:paraId="747D8327" w14:textId="6E2FE72E" w:rsidR="0067515E" w:rsidRDefault="00C717E1" w:rsidP="00DC74ED">
      <w:pPr>
        <w:tabs>
          <w:tab w:val="left" w:pos="6255"/>
        </w:tabs>
      </w:pPr>
      <w:r>
        <w:t xml:space="preserve">However, up to RAN1#92bis, RAN1 has not made an agreement on if sub-PRB allocation would be supported in Msg3. </w:t>
      </w:r>
      <w:r w:rsidR="0067515E">
        <w:t>As RAN2#102 is intended to be the final meeting for this work item for 3GPP Release 15, we provide this contribution with discussion of</w:t>
      </w:r>
      <w:r w:rsidR="0070622B">
        <w:t xml:space="preserve"> early sub-PRB allocation</w:t>
      </w:r>
      <w:r w:rsidR="0067515E">
        <w:t xml:space="preserve"> in Msg3 and/or Msg5 to facilitate any possible discussion which may be triggered by RAN1 decisions before Release 15 is closed. </w:t>
      </w:r>
    </w:p>
    <w:p w14:paraId="1C46347E" w14:textId="413F9736" w:rsidR="004000E8" w:rsidRDefault="004000E8" w:rsidP="00CE0424">
      <w:pPr>
        <w:pStyle w:val="Heading1"/>
      </w:pPr>
      <w:r w:rsidRPr="00CE0424">
        <w:t>Discussion</w:t>
      </w:r>
      <w:bookmarkEnd w:id="0"/>
    </w:p>
    <w:p w14:paraId="6FF4AEFC" w14:textId="1DCE34C1" w:rsidR="00AB1FA1" w:rsidRDefault="00D17704" w:rsidP="00CC4BDF">
      <w:r>
        <w:t xml:space="preserve">Based on the agreements in RAN2 so far, sub-PRB allocation can be used for UEs in RRC_CONNECTED once the network knows the UE capabilities w.r.t. sub-PRB and has configured UE to use sub-PRB in CE Mode A or B. </w:t>
      </w:r>
      <w:r w:rsidR="00AB1FA1">
        <w:t xml:space="preserve">Use of sub-PRB allocation for Msg3 and Msg5, i.e., before </w:t>
      </w:r>
      <w:r w:rsidR="00320874">
        <w:t xml:space="preserve">RRC connection has been established would have additional effect in RAN2 specifications, therefore, in </w:t>
      </w:r>
      <w:r w:rsidR="00320874">
        <w:fldChar w:fldCharType="begin"/>
      </w:r>
      <w:r w:rsidR="00320874">
        <w:instrText xml:space="preserve"> REF _Ref513498842 \n \h </w:instrText>
      </w:r>
      <w:r w:rsidR="00320874">
        <w:fldChar w:fldCharType="separate"/>
      </w:r>
      <w:r w:rsidR="004D785E">
        <w:t>[3]</w:t>
      </w:r>
      <w:r w:rsidR="00320874">
        <w:fldChar w:fldCharType="end"/>
      </w:r>
      <w:r w:rsidR="00320874">
        <w:t xml:space="preserve"> one conclusion shared by the companies who provided replies was to wait until RAN1 has reached some conclusion considering possible support of sub-PRB allocation in Msg3. </w:t>
      </w:r>
    </w:p>
    <w:p w14:paraId="3D380978" w14:textId="121C590E" w:rsidR="00077B72" w:rsidRDefault="0067515E" w:rsidP="00CC4BDF">
      <w:r>
        <w:t xml:space="preserve">As the RAN1 work for sub-PRB is not closed </w:t>
      </w:r>
      <w:r w:rsidR="00E40CA9">
        <w:t xml:space="preserve">yet it is not exactly clear, at least in RAN2, what would be the benefit of enabling sub-PRB allocation for Msg3 and Msg5. In </w:t>
      </w:r>
      <w:r w:rsidR="00E40CA9">
        <w:fldChar w:fldCharType="begin"/>
      </w:r>
      <w:r w:rsidR="00E40CA9">
        <w:instrText xml:space="preserve"> REF _Ref513498842 \n \h </w:instrText>
      </w:r>
      <w:r w:rsidR="00E40CA9">
        <w:fldChar w:fldCharType="separate"/>
      </w:r>
      <w:r w:rsidR="004D785E">
        <w:t>[3]</w:t>
      </w:r>
      <w:r w:rsidR="00E40CA9">
        <w:fldChar w:fldCharType="end"/>
      </w:r>
      <w:r w:rsidR="00E40CA9">
        <w:t xml:space="preserve"> it was pointed out that one possible performance benefit would be to use PSD boosting for transmissions using sub-PRB thus reducing the number of repetitions used to transmit the messages.</w:t>
      </w:r>
      <w:r w:rsidR="005A539D">
        <w:t xml:space="preserve"> </w:t>
      </w:r>
      <w:r w:rsidR="00077B72">
        <w:t xml:space="preserve">Some additional reasoning is given e.g. in </w:t>
      </w:r>
      <w:r w:rsidR="00077B72">
        <w:fldChar w:fldCharType="begin"/>
      </w:r>
      <w:r w:rsidR="00077B72">
        <w:instrText xml:space="preserve"> REF _Ref513501270 \n \h </w:instrText>
      </w:r>
      <w:r w:rsidR="00077B72">
        <w:fldChar w:fldCharType="separate"/>
      </w:r>
      <w:r w:rsidR="004D785E">
        <w:t>[6]</w:t>
      </w:r>
      <w:r w:rsidR="00077B72">
        <w:fldChar w:fldCharType="end"/>
      </w:r>
      <w:r w:rsidR="00077B72">
        <w:t>, listin</w:t>
      </w:r>
      <w:r w:rsidR="00634EDF">
        <w:t xml:space="preserve">g better UL spectral efficiency, SNR gain, UE battery life and increased UE TX power as advantages of sub-PRB transmission. </w:t>
      </w:r>
    </w:p>
    <w:p w14:paraId="3F2EE4B4" w14:textId="00645291" w:rsidR="00320874" w:rsidRDefault="00634EDF" w:rsidP="00CC4BDF">
      <w:r>
        <w:t>However, in</w:t>
      </w:r>
      <w:r w:rsidR="005A539D">
        <w:t xml:space="preserve"> legacy LTE, thus also</w:t>
      </w:r>
      <w:r>
        <w:t xml:space="preserve"> in</w:t>
      </w:r>
      <w:r w:rsidR="005A539D">
        <w:t xml:space="preserve"> LTE-MTC, Msg3 is a small message typically some tens of bits, thus there seems to at least no large benefit of using sub-PRB. For Msg5, larger transmission</w:t>
      </w:r>
      <w:r>
        <w:t>s</w:t>
      </w:r>
      <w:r w:rsidR="005A539D">
        <w:t xml:space="preserve"> </w:t>
      </w:r>
      <w:r>
        <w:t>are</w:t>
      </w:r>
      <w:r w:rsidR="005A539D">
        <w:t xml:space="preserve"> </w:t>
      </w:r>
      <w:proofErr w:type="gramStart"/>
      <w:r w:rsidR="005A539D">
        <w:t>possible</w:t>
      </w:r>
      <w:proofErr w:type="gramEnd"/>
      <w:r w:rsidR="005A539D">
        <w:t xml:space="preserve"> and some gain could be achieved</w:t>
      </w:r>
      <w:r>
        <w:t xml:space="preserve">, although it is somewhat unclear without e.g. simulation studies what the exact gain would be. </w:t>
      </w:r>
      <w:r w:rsidR="005A539D">
        <w:t xml:space="preserve"> </w:t>
      </w:r>
    </w:p>
    <w:p w14:paraId="3C7A0775" w14:textId="77777777" w:rsidR="005A539D" w:rsidRDefault="005A539D" w:rsidP="00CC4BDF"/>
    <w:p w14:paraId="39B3094F" w14:textId="75D8ECE8" w:rsidR="00D17704" w:rsidRDefault="00E40CA9" w:rsidP="00E31479">
      <w:pPr>
        <w:pStyle w:val="Observation"/>
      </w:pPr>
      <w:bookmarkStart w:id="1" w:name="_Toc513504009"/>
      <w:bookmarkStart w:id="2" w:name="_Toc513793316"/>
      <w:r>
        <w:t xml:space="preserve">The </w:t>
      </w:r>
      <w:r w:rsidR="00634EDF">
        <w:t>gains</w:t>
      </w:r>
      <w:r>
        <w:t xml:space="preserve"> of enabling sub-PRB allocation for Msg3 or Msg5 are not clear</w:t>
      </w:r>
      <w:r w:rsidR="00634EDF">
        <w:t xml:space="preserve"> without additional studies.</w:t>
      </w:r>
      <w:bookmarkEnd w:id="1"/>
      <w:bookmarkEnd w:id="2"/>
      <w:r w:rsidR="00634EDF">
        <w:t xml:space="preserve"> </w:t>
      </w:r>
    </w:p>
    <w:p w14:paraId="3F660BA0" w14:textId="77777777" w:rsidR="00634EDF" w:rsidRDefault="00634EDF" w:rsidP="00634EDF">
      <w:pPr>
        <w:pStyle w:val="Observation"/>
        <w:numPr>
          <w:ilvl w:val="0"/>
          <w:numId w:val="0"/>
        </w:numPr>
      </w:pPr>
    </w:p>
    <w:p w14:paraId="3E035884" w14:textId="1138BD64" w:rsidR="005A539D" w:rsidRDefault="005A539D" w:rsidP="00CC4BDF">
      <w:r>
        <w:t xml:space="preserve">For early data transmission (EDT) during random access, to be specified for LTE-M and NB-IoT in Release 15, it is possible to send user data already in Msg3. This means that use of sub-PRB for Msg3 could be better justified for EDT compared to the legacy case. </w:t>
      </w:r>
      <w:r w:rsidR="00E31479">
        <w:t>In the following we discuss two cases of early sub-PRB allocation: for Msg3 in EDT and Msg5 (in general).</w:t>
      </w:r>
    </w:p>
    <w:p w14:paraId="48C66C36" w14:textId="77777777" w:rsidR="00E31479" w:rsidRDefault="00E31479" w:rsidP="00CC4BDF"/>
    <w:p w14:paraId="3585EC6B" w14:textId="290A8C10" w:rsidR="00E31479" w:rsidRDefault="00E31479" w:rsidP="00CC4BDF">
      <w:pPr>
        <w:rPr>
          <w:b/>
          <w:u w:val="single"/>
        </w:rPr>
      </w:pPr>
      <w:r w:rsidRPr="00E31479">
        <w:rPr>
          <w:b/>
          <w:u w:val="single"/>
        </w:rPr>
        <w:t>Sub-PRB for Msg3 in EDT</w:t>
      </w:r>
    </w:p>
    <w:p w14:paraId="79065FBE" w14:textId="2789E150" w:rsidR="000A3BD1" w:rsidRDefault="00E31479" w:rsidP="006E062C">
      <w:r>
        <w:t xml:space="preserve">For sub-PRB to be used in Msg3, the UE would need to know if eNB supports the feature, and for eNB it would be beneficial to know if the UE is going to use sub-PRB or not. </w:t>
      </w:r>
    </w:p>
    <w:p w14:paraId="74F2C68F" w14:textId="2F362443" w:rsidR="00E31479" w:rsidRPr="00E31479" w:rsidRDefault="00E31479" w:rsidP="006E062C">
      <w:pPr>
        <w:rPr>
          <w:lang w:val="en-US"/>
        </w:rPr>
      </w:pPr>
      <w:r>
        <w:t xml:space="preserve">Some solution alternatives (see e.g. </w:t>
      </w:r>
      <w:r>
        <w:fldChar w:fldCharType="begin"/>
      </w:r>
      <w:r>
        <w:instrText xml:space="preserve"> REF _Ref513498842 \n \h </w:instrText>
      </w:r>
      <w:r>
        <w:fldChar w:fldCharType="separate"/>
      </w:r>
      <w:r w:rsidR="004D785E">
        <w:t>[3]</w:t>
      </w:r>
      <w:r>
        <w:fldChar w:fldCharType="end"/>
      </w:r>
      <w:r>
        <w:t>,</w:t>
      </w:r>
      <w:r>
        <w:fldChar w:fldCharType="begin"/>
      </w:r>
      <w:r>
        <w:instrText xml:space="preserve"> REF _Ref513501270 \n \h </w:instrText>
      </w:r>
      <w:r>
        <w:fldChar w:fldCharType="separate"/>
      </w:r>
      <w:r w:rsidR="004D785E">
        <w:t>[6]</w:t>
      </w:r>
      <w:r>
        <w:fldChar w:fldCharType="end"/>
      </w:r>
      <w:r>
        <w:t>) could be</w:t>
      </w:r>
      <w:r w:rsidRPr="00E31479">
        <w:rPr>
          <w:lang w:val="en-US"/>
        </w:rPr>
        <w:t>:</w:t>
      </w:r>
    </w:p>
    <w:p w14:paraId="2DC7D77C" w14:textId="44AA952A" w:rsidR="00E31479" w:rsidRDefault="00E31479" w:rsidP="00E31479">
      <w:pPr>
        <w:pStyle w:val="ListParagraph"/>
        <w:numPr>
          <w:ilvl w:val="0"/>
          <w:numId w:val="23"/>
        </w:numPr>
        <w:rPr>
          <w:lang w:val="en-US"/>
        </w:rPr>
      </w:pPr>
      <w:r w:rsidRPr="00E31479">
        <w:rPr>
          <w:lang w:val="en-US"/>
        </w:rPr>
        <w:t>Sending two RARs, one f</w:t>
      </w:r>
      <w:r>
        <w:rPr>
          <w:lang w:val="en-US"/>
        </w:rPr>
        <w:t>or full- and one for sub-PRB allocation.</w:t>
      </w:r>
    </w:p>
    <w:p w14:paraId="655ECBFA" w14:textId="7905C436" w:rsidR="002F0BC2" w:rsidRDefault="002F0BC2" w:rsidP="002F0BC2">
      <w:pPr>
        <w:pStyle w:val="ListParagraph"/>
        <w:numPr>
          <w:ilvl w:val="0"/>
          <w:numId w:val="23"/>
        </w:numPr>
        <w:rPr>
          <w:lang w:val="en-US"/>
        </w:rPr>
      </w:pPr>
      <w:r>
        <w:rPr>
          <w:lang w:val="en-US"/>
        </w:rPr>
        <w:t>Sending one RAR, which implicitly would indicate su</w:t>
      </w:r>
      <w:r w:rsidR="00E21448">
        <w:rPr>
          <w:lang w:val="en-US"/>
        </w:rPr>
        <w:t>b</w:t>
      </w:r>
      <w:r>
        <w:rPr>
          <w:lang w:val="en-US"/>
        </w:rPr>
        <w:t xml:space="preserve">-PRB allocation for UEs supporting the feature depending on the number of repetitions used for Msg2 transmission. </w:t>
      </w:r>
    </w:p>
    <w:p w14:paraId="145FAE7E" w14:textId="6B969241" w:rsidR="002F0BC2" w:rsidRDefault="002F0BC2" w:rsidP="002F0BC2">
      <w:pPr>
        <w:pStyle w:val="ListParagraph"/>
        <w:numPr>
          <w:ilvl w:val="0"/>
          <w:numId w:val="23"/>
        </w:numPr>
        <w:rPr>
          <w:lang w:val="en-US"/>
        </w:rPr>
      </w:pPr>
      <w:r>
        <w:rPr>
          <w:lang w:val="en-US"/>
        </w:rPr>
        <w:t xml:space="preserve">UE indicating support of the feature in Msg1, in practice meaning PRACH partitioning. </w:t>
      </w:r>
    </w:p>
    <w:p w14:paraId="0A75AB32" w14:textId="1AE78F2C" w:rsidR="002F0BC2" w:rsidRDefault="002F0BC2" w:rsidP="002F0BC2">
      <w:pPr>
        <w:pStyle w:val="ListParagraph"/>
        <w:numPr>
          <w:ilvl w:val="0"/>
          <w:numId w:val="23"/>
        </w:numPr>
        <w:rPr>
          <w:lang w:val="en-US"/>
        </w:rPr>
      </w:pPr>
      <w:r>
        <w:rPr>
          <w:lang w:val="en-US"/>
        </w:rPr>
        <w:t>Coupling sub-PRB allocation with EDT, meaning UEs supporting EDT would also support sub-PRB allocation for Msg3 in EDT.</w:t>
      </w:r>
    </w:p>
    <w:p w14:paraId="11E99F61" w14:textId="5D84C4E4" w:rsidR="002F0BC2" w:rsidRDefault="002F0BC2" w:rsidP="002F0BC2">
      <w:pPr>
        <w:rPr>
          <w:lang w:val="en-US"/>
        </w:rPr>
      </w:pPr>
    </w:p>
    <w:p w14:paraId="4982379E" w14:textId="19BB180E" w:rsidR="002F0BC2" w:rsidRDefault="002F0BC2" w:rsidP="002F0BC2">
      <w:pPr>
        <w:rPr>
          <w:lang w:val="en-US"/>
        </w:rPr>
      </w:pPr>
      <w:proofErr w:type="gramStart"/>
      <w:r>
        <w:rPr>
          <w:lang w:val="en-US"/>
        </w:rPr>
        <w:t>All of</w:t>
      </w:r>
      <w:proofErr w:type="gramEnd"/>
      <w:r>
        <w:rPr>
          <w:lang w:val="en-US"/>
        </w:rPr>
        <w:t xml:space="preserve"> the solutions listed above have some significant drawbacks: 1. and 2. would require eNB to do additional </w:t>
      </w:r>
      <w:r w:rsidR="00256CE2">
        <w:rPr>
          <w:lang w:val="en-US"/>
        </w:rPr>
        <w:t xml:space="preserve">blind </w:t>
      </w:r>
      <w:r>
        <w:rPr>
          <w:lang w:val="en-US"/>
        </w:rPr>
        <w:t>decoding attempts</w:t>
      </w:r>
      <w:r w:rsidR="00606CF8">
        <w:rPr>
          <w:lang w:val="en-US"/>
        </w:rPr>
        <w:t>, RAR format changes</w:t>
      </w:r>
      <w:r w:rsidR="00043549">
        <w:rPr>
          <w:lang w:val="en-US"/>
        </w:rPr>
        <w:t xml:space="preserve"> and </w:t>
      </w:r>
      <w:r w:rsidR="00164D32">
        <w:rPr>
          <w:lang w:val="en-US"/>
        </w:rPr>
        <w:t>transmitting multiple</w:t>
      </w:r>
      <w:r w:rsidR="00043549">
        <w:rPr>
          <w:lang w:val="en-US"/>
        </w:rPr>
        <w:t xml:space="preserve"> RARs</w:t>
      </w:r>
      <w:r w:rsidR="00DA427D">
        <w:rPr>
          <w:lang w:val="en-US"/>
        </w:rPr>
        <w:t xml:space="preserve"> (which would reduce </w:t>
      </w:r>
      <w:r w:rsidR="00143D19">
        <w:rPr>
          <w:lang w:val="en-US"/>
        </w:rPr>
        <w:t xml:space="preserve">efficiency for </w:t>
      </w:r>
      <w:r w:rsidR="00DA427D">
        <w:rPr>
          <w:lang w:val="en-US"/>
        </w:rPr>
        <w:t>r</w:t>
      </w:r>
      <w:r w:rsidR="00143D19">
        <w:rPr>
          <w:lang w:val="en-US"/>
        </w:rPr>
        <w:t>esource allocation</w:t>
      </w:r>
      <w:r w:rsidR="00DA427D">
        <w:rPr>
          <w:lang w:val="en-US"/>
        </w:rPr>
        <w:t>)</w:t>
      </w:r>
      <w:r>
        <w:rPr>
          <w:lang w:val="en-US"/>
        </w:rPr>
        <w:t xml:space="preserve">. Considering that EDT already can be configured with up to 4 decoding attempts for different TB sizes, </w:t>
      </w:r>
      <w:r w:rsidR="006B15AE">
        <w:rPr>
          <w:lang w:val="en-US"/>
        </w:rPr>
        <w:t>blind decoding</w:t>
      </w:r>
      <w:r>
        <w:rPr>
          <w:lang w:val="en-US"/>
        </w:rPr>
        <w:t xml:space="preserve"> attempts for sub-PRB are not preferred</w:t>
      </w:r>
      <w:r w:rsidR="00436954">
        <w:rPr>
          <w:lang w:val="en-US"/>
        </w:rPr>
        <w:t xml:space="preserve"> due to increased complexity</w:t>
      </w:r>
      <w:r>
        <w:rPr>
          <w:lang w:val="en-US"/>
        </w:rPr>
        <w:t xml:space="preserve">. 3. would mean even further PRACH partitioning, which is also already one component of EDT meaning even further fragmentation and resource use for PRACH. Coupling features, like in 4. would mean </w:t>
      </w:r>
      <w:r w:rsidR="00A72E67">
        <w:rPr>
          <w:lang w:val="en-US"/>
        </w:rPr>
        <w:t xml:space="preserve">less flexibility for </w:t>
      </w:r>
      <w:r w:rsidR="00A72E67">
        <w:rPr>
          <w:lang w:val="en-US"/>
        </w:rPr>
        <w:lastRenderedPageBreak/>
        <w:t xml:space="preserve">lower complexity UEs and </w:t>
      </w:r>
      <w:r>
        <w:rPr>
          <w:lang w:val="en-US"/>
        </w:rPr>
        <w:t>slower adoption of EDT feature as there would be additional requirements for both UE and network side to implement E</w:t>
      </w:r>
      <w:r w:rsidR="00A72E67">
        <w:rPr>
          <w:lang w:val="en-US"/>
        </w:rPr>
        <w:t xml:space="preserve">DT. </w:t>
      </w:r>
    </w:p>
    <w:p w14:paraId="0CDA0295" w14:textId="77777777" w:rsidR="002F0BC2" w:rsidRDefault="002F0BC2" w:rsidP="002F0BC2">
      <w:pPr>
        <w:rPr>
          <w:lang w:val="en-US"/>
        </w:rPr>
      </w:pPr>
    </w:p>
    <w:p w14:paraId="6DC7D7C4" w14:textId="0FF6133F" w:rsidR="002F0BC2" w:rsidRDefault="002F0BC2" w:rsidP="002F0BC2">
      <w:pPr>
        <w:rPr>
          <w:lang w:val="en-US"/>
        </w:rPr>
      </w:pPr>
      <w:r>
        <w:rPr>
          <w:lang w:val="en-US"/>
        </w:rPr>
        <w:t xml:space="preserve">Moreover, similar solutions have been discussed before in RAN2 </w:t>
      </w:r>
      <w:r w:rsidR="00D42DD9">
        <w:rPr>
          <w:lang w:val="en-US"/>
        </w:rPr>
        <w:t xml:space="preserve">in the context of UE indicating (or not) its intention to use EDT. Based on these earlier discussions, additional performance degradation due to e.g. additional </w:t>
      </w:r>
      <w:r w:rsidR="00055874">
        <w:rPr>
          <w:lang w:val="en-US"/>
        </w:rPr>
        <w:t xml:space="preserve">blind </w:t>
      </w:r>
      <w:r w:rsidR="00D42DD9">
        <w:rPr>
          <w:lang w:val="en-US"/>
        </w:rPr>
        <w:t>decoding attempts or fragmenting resources for indication are not preferred.</w:t>
      </w:r>
      <w:r w:rsidR="006E5148">
        <w:rPr>
          <w:lang w:val="en-US"/>
        </w:rPr>
        <w:t xml:space="preserve"> In the previous discussions the drawbacks of such schemes have been considered to outweigh the benefits. </w:t>
      </w:r>
      <w:r w:rsidR="00D42DD9">
        <w:rPr>
          <w:lang w:val="en-US"/>
        </w:rPr>
        <w:t>Therefore, considering the short time left for Rel-15</w:t>
      </w:r>
      <w:r w:rsidR="006E5148">
        <w:rPr>
          <w:lang w:val="en-US"/>
        </w:rPr>
        <w:t xml:space="preserve"> work, and that the gain </w:t>
      </w:r>
      <w:r w:rsidR="00673D71">
        <w:rPr>
          <w:lang w:val="en-US"/>
        </w:rPr>
        <w:t>due to</w:t>
      </w:r>
      <w:r w:rsidR="006E5148">
        <w:rPr>
          <w:lang w:val="en-US"/>
        </w:rPr>
        <w:t xml:space="preserve"> sub-PRB </w:t>
      </w:r>
      <w:r w:rsidR="00673D71">
        <w:rPr>
          <w:lang w:val="en-US"/>
        </w:rPr>
        <w:t xml:space="preserve">allocation </w:t>
      </w:r>
      <w:r w:rsidR="006E5148">
        <w:rPr>
          <w:lang w:val="en-US"/>
        </w:rPr>
        <w:t>for Msg3 not</w:t>
      </w:r>
      <w:r w:rsidR="00F543FC">
        <w:rPr>
          <w:lang w:val="en-US"/>
        </w:rPr>
        <w:t xml:space="preserve"> being</w:t>
      </w:r>
      <w:r w:rsidR="006E5148">
        <w:rPr>
          <w:lang w:val="en-US"/>
        </w:rPr>
        <w:t xml:space="preserve"> clear </w:t>
      </w:r>
      <w:r w:rsidR="00F543FC">
        <w:rPr>
          <w:lang w:val="en-US"/>
        </w:rPr>
        <w:t>for</w:t>
      </w:r>
      <w:r w:rsidR="006E5148">
        <w:rPr>
          <w:lang w:val="en-US"/>
        </w:rPr>
        <w:t xml:space="preserve"> the moment, </w:t>
      </w:r>
      <w:r w:rsidR="00D42DD9">
        <w:rPr>
          <w:lang w:val="en-US"/>
        </w:rPr>
        <w:t xml:space="preserve">we propose </w:t>
      </w:r>
      <w:r w:rsidR="00B44548">
        <w:rPr>
          <w:lang w:val="en-US"/>
        </w:rPr>
        <w:t xml:space="preserve">not </w:t>
      </w:r>
      <w:r w:rsidR="00D42DD9">
        <w:rPr>
          <w:lang w:val="en-US"/>
        </w:rPr>
        <w:t xml:space="preserve">to consider sub-PRB allocation for Msg3 in EDT further in this release. </w:t>
      </w:r>
    </w:p>
    <w:p w14:paraId="707E9A93" w14:textId="77777777" w:rsidR="00D42DD9" w:rsidRDefault="00D42DD9" w:rsidP="002F0BC2">
      <w:pPr>
        <w:rPr>
          <w:lang w:val="en-US"/>
        </w:rPr>
      </w:pPr>
    </w:p>
    <w:p w14:paraId="6B9F90A1" w14:textId="67D15037" w:rsidR="00D42DD9" w:rsidRDefault="00D42DD9" w:rsidP="00D42DD9">
      <w:pPr>
        <w:pStyle w:val="Proposal"/>
      </w:pPr>
      <w:bookmarkStart w:id="3" w:name="_Toc513504010"/>
      <w:bookmarkStart w:id="4" w:name="_Toc513793313"/>
      <w:r>
        <w:t xml:space="preserve">Sub-PRB allocation for Msg3 is not </w:t>
      </w:r>
      <w:r w:rsidR="00D41753">
        <w:t>supported</w:t>
      </w:r>
      <w:r>
        <w:t xml:space="preserve"> in Release 15.</w:t>
      </w:r>
      <w:bookmarkEnd w:id="3"/>
      <w:bookmarkEnd w:id="4"/>
      <w:r>
        <w:t xml:space="preserve"> </w:t>
      </w:r>
    </w:p>
    <w:p w14:paraId="490263D6" w14:textId="3A05C644" w:rsidR="00D42DD9" w:rsidRDefault="00D42DD9" w:rsidP="002F0BC2"/>
    <w:p w14:paraId="0A93FC38" w14:textId="5EDFFAA8" w:rsidR="001439A2" w:rsidRDefault="001439A2" w:rsidP="002F0BC2">
      <w:pPr>
        <w:rPr>
          <w:b/>
          <w:u w:val="single"/>
        </w:rPr>
      </w:pPr>
      <w:r>
        <w:rPr>
          <w:b/>
          <w:u w:val="single"/>
        </w:rPr>
        <w:t>Sub-PRB for Msg5</w:t>
      </w:r>
    </w:p>
    <w:p w14:paraId="519FE5C2" w14:textId="0A2FECE9" w:rsidR="001439A2" w:rsidRDefault="001439A2" w:rsidP="002F0BC2">
      <w:pPr>
        <w:rPr>
          <w:b/>
          <w:u w:val="single"/>
        </w:rPr>
      </w:pPr>
    </w:p>
    <w:p w14:paraId="3483DBC5" w14:textId="42391A2A" w:rsidR="004D785E" w:rsidRDefault="00B77862" w:rsidP="002F0BC2">
      <w:r>
        <w:t>In principle the eNB could retrieve the UE radio capabilities once it has received Msg3</w:t>
      </w:r>
      <w:r w:rsidR="006E5148">
        <w:t xml:space="preserve"> based on e.g. the UE identity (S-TMSI) or the resume ID. </w:t>
      </w:r>
      <w:r w:rsidR="004D785E">
        <w:t xml:space="preserve">Drawback of this would be possible additional delay in processing before </w:t>
      </w:r>
      <w:proofErr w:type="gramStart"/>
      <w:r w:rsidR="004D785E">
        <w:t>replying back</w:t>
      </w:r>
      <w:proofErr w:type="gramEnd"/>
      <w:r w:rsidR="004D785E">
        <w:t xml:space="preserve"> with Msg4. Alternatively, an indication could be defined in Msg3 or an unused LCID field could be used to denote UEs capability to use sub-PRB allocation (in Msg5). </w:t>
      </w:r>
    </w:p>
    <w:p w14:paraId="18CD92ED" w14:textId="3659BF57" w:rsidR="004D785E" w:rsidRPr="00B77862" w:rsidRDefault="004D785E" w:rsidP="002F0BC2">
      <w:r>
        <w:t xml:space="preserve">Thus, at least from RAN2 perspective, sub-PRB for Msg5 would be more straightforward to implement, and the drawbacks may not be as severe. However, even for this case, </w:t>
      </w:r>
      <w:r w:rsidR="00CB3F2E">
        <w:t xml:space="preserve">whether it would be beneficial considering </w:t>
      </w:r>
      <w:r w:rsidR="00A42B9D">
        <w:t>the effort</w:t>
      </w:r>
      <w:r>
        <w:t xml:space="preserve"> is not clear compared to </w:t>
      </w:r>
      <w:r w:rsidR="00A42B9D">
        <w:t>the case</w:t>
      </w:r>
      <w:r w:rsidR="00B46C17">
        <w:t xml:space="preserve"> after the RRC connection is established</w:t>
      </w:r>
      <w:r w:rsidR="00E66638">
        <w:t>.</w:t>
      </w:r>
      <w:r>
        <w:t xml:space="preserve"> Thus, before </w:t>
      </w:r>
      <w:r w:rsidR="00A7047D">
        <w:t>discussing how sub-PRB allocation for Msg5 would work</w:t>
      </w:r>
      <w:r>
        <w:t xml:space="preserve">, RAN2 should discuss if the gain </w:t>
      </w:r>
      <w:r w:rsidR="009A4155">
        <w:t>is worth the complexity.</w:t>
      </w:r>
    </w:p>
    <w:p w14:paraId="2216A9C9" w14:textId="3B0261CE" w:rsidR="00E31479" w:rsidRDefault="00E31479" w:rsidP="006E062C"/>
    <w:p w14:paraId="33346AA8" w14:textId="3105AE7D" w:rsidR="004D785E" w:rsidRDefault="004D785E" w:rsidP="006E062C">
      <w:pPr>
        <w:pStyle w:val="Proposal"/>
      </w:pPr>
      <w:bookmarkStart w:id="5" w:name="_Toc513504011"/>
      <w:bookmarkStart w:id="6" w:name="_Toc513793314"/>
      <w:r>
        <w:t xml:space="preserve">Discuss if the gains </w:t>
      </w:r>
      <w:r w:rsidR="00F33CBF">
        <w:t>due to</w:t>
      </w:r>
      <w:r>
        <w:t xml:space="preserve"> sub-PRB allocation for Msg5 are significant enough to </w:t>
      </w:r>
      <w:r w:rsidR="007C3BD7">
        <w:t>support the functionality</w:t>
      </w:r>
      <w:r>
        <w:t>.</w:t>
      </w:r>
      <w:bookmarkEnd w:id="5"/>
      <w:bookmarkEnd w:id="6"/>
      <w:r>
        <w:t xml:space="preserve"> </w:t>
      </w:r>
      <w:bookmarkStart w:id="7" w:name="_GoBack"/>
      <w:bookmarkEnd w:id="7"/>
    </w:p>
    <w:p w14:paraId="1FBDB537" w14:textId="38406222" w:rsidR="00D14AC5" w:rsidRDefault="00D14AC5" w:rsidP="00D14AC5">
      <w:pPr>
        <w:pStyle w:val="Proposal"/>
        <w:numPr>
          <w:ilvl w:val="0"/>
          <w:numId w:val="0"/>
        </w:numPr>
      </w:pPr>
    </w:p>
    <w:p w14:paraId="690BD2B3" w14:textId="77777777" w:rsidR="003B30A4" w:rsidRPr="00CE0424" w:rsidRDefault="003B30A4" w:rsidP="003B30A4">
      <w:pPr>
        <w:pStyle w:val="Heading1"/>
      </w:pPr>
      <w:r w:rsidRPr="00CE0424">
        <w:t>Conclusion</w:t>
      </w:r>
    </w:p>
    <w:p w14:paraId="6B07F442" w14:textId="77777777" w:rsidR="00E0649B" w:rsidRDefault="00A03091" w:rsidP="003B30A4">
      <w:pPr>
        <w:pStyle w:val="BodyText"/>
        <w:rPr>
          <w:noProof/>
        </w:rPr>
      </w:pPr>
      <w:r>
        <w:t>We</w:t>
      </w:r>
      <w:r w:rsidR="003B30A4" w:rsidRPr="00CE0424">
        <w:t xml:space="preserve"> </w:t>
      </w:r>
      <w:r w:rsidR="003B30A4">
        <w:t>made the following observations</w:t>
      </w:r>
      <w:r>
        <w:t xml:space="preserve"> in the summary</w:t>
      </w:r>
      <w:r w:rsidR="003B30A4" w:rsidRPr="00CE0424">
        <w:t>:</w:t>
      </w:r>
      <w:r w:rsidR="003B30A4">
        <w:rPr>
          <w:b/>
          <w:bCs/>
        </w:rPr>
        <w:fldChar w:fldCharType="begin"/>
      </w:r>
      <w:r w:rsidR="003B30A4">
        <w:rPr>
          <w:b/>
          <w:bCs/>
        </w:rPr>
        <w:instrText xml:space="preserve"> TOC \f \n \t "Observation;1" </w:instrText>
      </w:r>
      <w:r w:rsidR="003B30A4">
        <w:rPr>
          <w:b/>
          <w:bCs/>
        </w:rPr>
        <w:fldChar w:fldCharType="separate"/>
      </w:r>
    </w:p>
    <w:p w14:paraId="2B328855" w14:textId="77777777" w:rsidR="00E0649B" w:rsidRDefault="00E0649B">
      <w:pPr>
        <w:pStyle w:val="TOC1"/>
        <w:rPr>
          <w:rFonts w:asciiTheme="minorHAnsi" w:hAnsiTheme="minorHAnsi" w:cstheme="minorBidi"/>
          <w:b w:val="0"/>
          <w:sz w:val="22"/>
          <w:lang w:eastAsia="en-US"/>
        </w:rPr>
      </w:pPr>
      <w:r>
        <w:t>Observation 1</w:t>
      </w:r>
      <w:r>
        <w:rPr>
          <w:rFonts w:asciiTheme="minorHAnsi" w:hAnsiTheme="minorHAnsi" w:cstheme="minorBidi"/>
          <w:b w:val="0"/>
          <w:sz w:val="22"/>
          <w:lang w:eastAsia="en-US"/>
        </w:rPr>
        <w:tab/>
      </w:r>
      <w:r>
        <w:t>The gains of enabling sub-PRB allocation for Msg3 or Msg5 are not clear without additional studies.</w:t>
      </w:r>
    </w:p>
    <w:p w14:paraId="2EA91F3F" w14:textId="77777777" w:rsidR="003B30A4" w:rsidRDefault="003B30A4" w:rsidP="003B30A4">
      <w:pPr>
        <w:pStyle w:val="BodyText"/>
        <w:rPr>
          <w:b/>
          <w:bCs/>
        </w:rPr>
      </w:pPr>
      <w:r>
        <w:rPr>
          <w:b/>
          <w:bCs/>
        </w:rPr>
        <w:fldChar w:fldCharType="end"/>
      </w:r>
    </w:p>
    <w:p w14:paraId="6EA6B7AF" w14:textId="77777777" w:rsidR="00E0649B" w:rsidRDefault="00A03091" w:rsidP="003B30A4">
      <w:pPr>
        <w:pStyle w:val="BodyText"/>
        <w:rPr>
          <w:noProof/>
        </w:rPr>
      </w:pPr>
      <w:r>
        <w:t>And the following proposals</w:t>
      </w:r>
      <w:r w:rsidR="003B30A4" w:rsidRPr="00CE0424">
        <w:t>:</w:t>
      </w:r>
      <w:r w:rsidR="003B30A4">
        <w:rPr>
          <w:b/>
          <w:bCs/>
        </w:rPr>
        <w:fldChar w:fldCharType="begin"/>
      </w:r>
      <w:r w:rsidR="003B30A4">
        <w:rPr>
          <w:b/>
          <w:bCs/>
        </w:rPr>
        <w:instrText xml:space="preserve"> TOC \f \n \p " " \t "Proposal;1" </w:instrText>
      </w:r>
      <w:r w:rsidR="003B30A4">
        <w:rPr>
          <w:b/>
          <w:bCs/>
        </w:rPr>
        <w:fldChar w:fldCharType="separate"/>
      </w:r>
    </w:p>
    <w:p w14:paraId="0CE1AC77" w14:textId="77777777" w:rsidR="00E0649B" w:rsidRDefault="00E0649B">
      <w:pPr>
        <w:pStyle w:val="TOC1"/>
        <w:rPr>
          <w:rFonts w:asciiTheme="minorHAnsi" w:hAnsiTheme="minorHAnsi" w:cstheme="minorBidi"/>
          <w:b w:val="0"/>
          <w:sz w:val="22"/>
          <w:lang w:eastAsia="en-US"/>
        </w:rPr>
      </w:pPr>
      <w:r>
        <w:t>Proposal 1</w:t>
      </w:r>
      <w:r>
        <w:rPr>
          <w:rFonts w:asciiTheme="minorHAnsi" w:hAnsiTheme="minorHAnsi" w:cstheme="minorBidi"/>
          <w:b w:val="0"/>
          <w:sz w:val="22"/>
          <w:lang w:eastAsia="en-US"/>
        </w:rPr>
        <w:tab/>
      </w:r>
      <w:r>
        <w:t>Sub-PRB allocation for Msg3 is not supported in Release 15.</w:t>
      </w:r>
    </w:p>
    <w:p w14:paraId="48A1F652" w14:textId="77777777" w:rsidR="00E0649B" w:rsidRDefault="00E0649B">
      <w:pPr>
        <w:pStyle w:val="TOC1"/>
        <w:rPr>
          <w:rFonts w:asciiTheme="minorHAnsi" w:hAnsiTheme="minorHAnsi" w:cstheme="minorBidi"/>
          <w:b w:val="0"/>
          <w:sz w:val="22"/>
          <w:lang w:eastAsia="en-US"/>
        </w:rPr>
      </w:pPr>
      <w:r>
        <w:t>Proposal 2</w:t>
      </w:r>
      <w:r>
        <w:rPr>
          <w:rFonts w:asciiTheme="minorHAnsi" w:hAnsiTheme="minorHAnsi" w:cstheme="minorBidi"/>
          <w:b w:val="0"/>
          <w:sz w:val="22"/>
          <w:lang w:eastAsia="en-US"/>
        </w:rPr>
        <w:tab/>
      </w:r>
      <w:r>
        <w:t>Discuss if the gains due to sub-PRB allocation for Msg5 are significant enough to support the functionality.</w:t>
      </w:r>
    </w:p>
    <w:p w14:paraId="19018DEB" w14:textId="540390B0" w:rsidR="00D14AC5" w:rsidRPr="00CE0424" w:rsidRDefault="003B30A4" w:rsidP="003B30A4">
      <w:pPr>
        <w:pStyle w:val="Proposal"/>
        <w:numPr>
          <w:ilvl w:val="0"/>
          <w:numId w:val="0"/>
        </w:numPr>
      </w:pPr>
      <w:r>
        <w:rPr>
          <w:b w:val="0"/>
          <w:bCs w:val="0"/>
        </w:rPr>
        <w:fldChar w:fldCharType="end"/>
      </w:r>
    </w:p>
    <w:p w14:paraId="68B4F433" w14:textId="42E0EE20" w:rsidR="00F507D1" w:rsidRPr="00CE0424" w:rsidRDefault="00F507D1" w:rsidP="00CE0424">
      <w:pPr>
        <w:pStyle w:val="Heading1"/>
      </w:pPr>
      <w:bookmarkStart w:id="8" w:name="_In-sequence_SDU_delivery"/>
      <w:bookmarkEnd w:id="8"/>
      <w:r w:rsidRPr="00CE0424">
        <w:t>References</w:t>
      </w:r>
    </w:p>
    <w:p w14:paraId="5425AE9C" w14:textId="65191A77" w:rsidR="003A7EF3" w:rsidRDefault="003E3848" w:rsidP="00CE0424">
      <w:pPr>
        <w:pStyle w:val="Reference"/>
      </w:pPr>
      <w:bookmarkStart w:id="9" w:name="_Ref509220437"/>
      <w:bookmarkStart w:id="10" w:name="_Ref174151459"/>
      <w:bookmarkStart w:id="11" w:name="_Ref189809556"/>
      <w:r>
        <w:t>RP-171427, “Revised WID on Even further enhanced MTC for LTE”, Ericsson, Qualcomm</w:t>
      </w:r>
      <w:bookmarkEnd w:id="9"/>
      <w:bookmarkEnd w:id="10"/>
      <w:bookmarkEnd w:id="11"/>
    </w:p>
    <w:p w14:paraId="0F193F0B" w14:textId="0A04F16D" w:rsidR="00C717E1" w:rsidRDefault="00C717E1" w:rsidP="00CE0424">
      <w:pPr>
        <w:pStyle w:val="Reference"/>
      </w:pPr>
      <w:bookmarkStart w:id="12" w:name="_Ref513761321"/>
      <w:r>
        <w:t xml:space="preserve">R1-1805787, “Agreement summary for Rel-15 Even further enhanced MTC for LTE”, Ericsson, RAN1#92bis, </w:t>
      </w:r>
      <w:proofErr w:type="spellStart"/>
      <w:r>
        <w:t>Sanya</w:t>
      </w:r>
      <w:proofErr w:type="spellEnd"/>
      <w:r>
        <w:t>, China</w:t>
      </w:r>
      <w:bookmarkEnd w:id="12"/>
    </w:p>
    <w:p w14:paraId="1CC96AC0" w14:textId="5693758B" w:rsidR="00035F86" w:rsidRDefault="00035F86" w:rsidP="00CE0424">
      <w:pPr>
        <w:pStyle w:val="Reference"/>
      </w:pPr>
      <w:bookmarkStart w:id="13" w:name="_Ref513498842"/>
      <w:r>
        <w:t>R2-1805185, “Report of e</w:t>
      </w:r>
      <w:r w:rsidR="00C717E1">
        <w:t>m</w:t>
      </w:r>
      <w:r>
        <w:t xml:space="preserve">ail discussion [101#64] on PUSCH spectral density, Ericsson (rapporteur), RAN2#101bis, </w:t>
      </w:r>
      <w:proofErr w:type="spellStart"/>
      <w:r>
        <w:t>Sanya</w:t>
      </w:r>
      <w:proofErr w:type="spellEnd"/>
      <w:r>
        <w:t>, China</w:t>
      </w:r>
      <w:bookmarkEnd w:id="13"/>
    </w:p>
    <w:p w14:paraId="72114237" w14:textId="11F56B24" w:rsidR="00C26712" w:rsidRDefault="00C26712" w:rsidP="00CE0424">
      <w:pPr>
        <w:pStyle w:val="Reference"/>
      </w:pPr>
      <w:r>
        <w:t xml:space="preserve">R2-1806513, “Introduction of Rel-15 eMTC enhancements (other than EDT)”, Qualcomm (rapporteur), RAN2#101bis, </w:t>
      </w:r>
      <w:proofErr w:type="spellStart"/>
      <w:r>
        <w:t>Sanya</w:t>
      </w:r>
      <w:proofErr w:type="spellEnd"/>
      <w:r>
        <w:t>, China</w:t>
      </w:r>
    </w:p>
    <w:p w14:paraId="0F1C0FFC" w14:textId="20797AD0" w:rsidR="00C26712" w:rsidRDefault="00C26712" w:rsidP="00CE0424">
      <w:pPr>
        <w:pStyle w:val="Reference"/>
      </w:pPr>
      <w:bookmarkStart w:id="14" w:name="_Ref513499987"/>
      <w:r>
        <w:lastRenderedPageBreak/>
        <w:t xml:space="preserve">R1-1805768, “LS on RRC parameter list for L1 configuration of Rel-15 LTE-MTC”, RAN1#92bis, </w:t>
      </w:r>
      <w:proofErr w:type="spellStart"/>
      <w:r>
        <w:t>Sanya</w:t>
      </w:r>
      <w:proofErr w:type="spellEnd"/>
      <w:r>
        <w:t>, China</w:t>
      </w:r>
      <w:bookmarkEnd w:id="14"/>
    </w:p>
    <w:p w14:paraId="6F694FFB" w14:textId="56241574" w:rsidR="001E0191" w:rsidRPr="00CE0424" w:rsidRDefault="001E0191" w:rsidP="00CE0424">
      <w:pPr>
        <w:pStyle w:val="Reference"/>
      </w:pPr>
      <w:bookmarkStart w:id="15" w:name="_Ref513501270"/>
      <w:r>
        <w:t xml:space="preserve">R2-1805658, “Indication of EDT message TB size”, Sierra Wireless, RAN2#101bis, </w:t>
      </w:r>
      <w:proofErr w:type="spellStart"/>
      <w:r>
        <w:t>Sanya</w:t>
      </w:r>
      <w:proofErr w:type="spellEnd"/>
      <w:r>
        <w:t>, China</w:t>
      </w:r>
      <w:bookmarkEnd w:id="15"/>
    </w:p>
    <w:sectPr w:rsidR="001E0191"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62FFA" w14:textId="77777777" w:rsidR="00A904E2" w:rsidRDefault="00A904E2">
      <w:r>
        <w:separator/>
      </w:r>
    </w:p>
  </w:endnote>
  <w:endnote w:type="continuationSeparator" w:id="0">
    <w:p w14:paraId="458AFCDC" w14:textId="77777777" w:rsidR="00A904E2" w:rsidRDefault="00A90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797E4" w14:textId="2E85886E" w:rsidR="00043549" w:rsidRDefault="000435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47B1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47B1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8897B" w14:textId="77777777" w:rsidR="00A904E2" w:rsidRDefault="00A904E2">
      <w:r>
        <w:separator/>
      </w:r>
    </w:p>
  </w:footnote>
  <w:footnote w:type="continuationSeparator" w:id="0">
    <w:p w14:paraId="1338DD7D" w14:textId="77777777" w:rsidR="00A904E2" w:rsidRDefault="00A90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103F6" w14:textId="77777777" w:rsidR="00043549" w:rsidRDefault="0004354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51C220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866E88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1D81E7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201BFC"/>
    <w:multiLevelType w:val="hybridMultilevel"/>
    <w:tmpl w:val="EAE037C4"/>
    <w:lvl w:ilvl="0" w:tplc="76A2BAE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EA3277"/>
    <w:multiLevelType w:val="hybridMultilevel"/>
    <w:tmpl w:val="952C2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20"/>
  </w:num>
  <w:num w:numId="17">
    <w:abstractNumId w:val="10"/>
  </w:num>
  <w:num w:numId="18">
    <w:abstractNumId w:val="22"/>
  </w:num>
  <w:num w:numId="19">
    <w:abstractNumId w:val="6"/>
  </w:num>
  <w:num w:numId="20">
    <w:abstractNumId w:val="20"/>
  </w:num>
  <w:num w:numId="2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5"/>
  </w:num>
  <w:num w:numId="2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1E87"/>
    <w:rsid w:val="000006E1"/>
    <w:rsid w:val="00002A37"/>
    <w:rsid w:val="000039F4"/>
    <w:rsid w:val="00006446"/>
    <w:rsid w:val="00006896"/>
    <w:rsid w:val="00007CDC"/>
    <w:rsid w:val="00011B28"/>
    <w:rsid w:val="000151AE"/>
    <w:rsid w:val="00015D15"/>
    <w:rsid w:val="00021D7C"/>
    <w:rsid w:val="000230D9"/>
    <w:rsid w:val="0002564D"/>
    <w:rsid w:val="00025ECA"/>
    <w:rsid w:val="000325B8"/>
    <w:rsid w:val="00034C15"/>
    <w:rsid w:val="00035F86"/>
    <w:rsid w:val="00036BA1"/>
    <w:rsid w:val="000422E2"/>
    <w:rsid w:val="00042F22"/>
    <w:rsid w:val="00043549"/>
    <w:rsid w:val="000444EF"/>
    <w:rsid w:val="00044F52"/>
    <w:rsid w:val="00052A07"/>
    <w:rsid w:val="000534E3"/>
    <w:rsid w:val="00054ACA"/>
    <w:rsid w:val="00055874"/>
    <w:rsid w:val="0005606A"/>
    <w:rsid w:val="00057117"/>
    <w:rsid w:val="00060446"/>
    <w:rsid w:val="000616E7"/>
    <w:rsid w:val="0006487E"/>
    <w:rsid w:val="00065E1A"/>
    <w:rsid w:val="0006609C"/>
    <w:rsid w:val="00066D6F"/>
    <w:rsid w:val="00077B72"/>
    <w:rsid w:val="00077E5F"/>
    <w:rsid w:val="0008036A"/>
    <w:rsid w:val="00081AE6"/>
    <w:rsid w:val="000827B9"/>
    <w:rsid w:val="000855EB"/>
    <w:rsid w:val="00085B52"/>
    <w:rsid w:val="000866F2"/>
    <w:rsid w:val="0009009F"/>
    <w:rsid w:val="00091557"/>
    <w:rsid w:val="000924C1"/>
    <w:rsid w:val="000924F0"/>
    <w:rsid w:val="00093474"/>
    <w:rsid w:val="00095085"/>
    <w:rsid w:val="0009510F"/>
    <w:rsid w:val="000967DF"/>
    <w:rsid w:val="000A1B7B"/>
    <w:rsid w:val="000A3BD1"/>
    <w:rsid w:val="000A56F2"/>
    <w:rsid w:val="000B2719"/>
    <w:rsid w:val="000B3A8F"/>
    <w:rsid w:val="000B497E"/>
    <w:rsid w:val="000B4AB9"/>
    <w:rsid w:val="000B58C3"/>
    <w:rsid w:val="000B61E9"/>
    <w:rsid w:val="000C165A"/>
    <w:rsid w:val="000C2B58"/>
    <w:rsid w:val="000C2E19"/>
    <w:rsid w:val="000D0D07"/>
    <w:rsid w:val="000D0DAA"/>
    <w:rsid w:val="000D3093"/>
    <w:rsid w:val="000D4797"/>
    <w:rsid w:val="000E0527"/>
    <w:rsid w:val="000E1E92"/>
    <w:rsid w:val="000F06D6"/>
    <w:rsid w:val="000F0EB1"/>
    <w:rsid w:val="000F1106"/>
    <w:rsid w:val="000F26EC"/>
    <w:rsid w:val="000F3BE9"/>
    <w:rsid w:val="000F3F6C"/>
    <w:rsid w:val="000F6B1C"/>
    <w:rsid w:val="000F6DF3"/>
    <w:rsid w:val="001005FF"/>
    <w:rsid w:val="001062FB"/>
    <w:rsid w:val="001063E6"/>
    <w:rsid w:val="00113CF4"/>
    <w:rsid w:val="001153EA"/>
    <w:rsid w:val="00115643"/>
    <w:rsid w:val="00116765"/>
    <w:rsid w:val="001219F5"/>
    <w:rsid w:val="00121A20"/>
    <w:rsid w:val="00123634"/>
    <w:rsid w:val="0012377F"/>
    <w:rsid w:val="00124314"/>
    <w:rsid w:val="00125D3F"/>
    <w:rsid w:val="00126460"/>
    <w:rsid w:val="00126B4A"/>
    <w:rsid w:val="001328E1"/>
    <w:rsid w:val="00132FD0"/>
    <w:rsid w:val="001344C0"/>
    <w:rsid w:val="001346FA"/>
    <w:rsid w:val="00135252"/>
    <w:rsid w:val="00136FFA"/>
    <w:rsid w:val="00137AB5"/>
    <w:rsid w:val="00137F0B"/>
    <w:rsid w:val="001439A2"/>
    <w:rsid w:val="00143D19"/>
    <w:rsid w:val="00151E23"/>
    <w:rsid w:val="001526E0"/>
    <w:rsid w:val="001551B5"/>
    <w:rsid w:val="00156A23"/>
    <w:rsid w:val="00162847"/>
    <w:rsid w:val="00164D32"/>
    <w:rsid w:val="001659C1"/>
    <w:rsid w:val="001677CC"/>
    <w:rsid w:val="00173A8E"/>
    <w:rsid w:val="00177795"/>
    <w:rsid w:val="0017783E"/>
    <w:rsid w:val="0018143F"/>
    <w:rsid w:val="001814DC"/>
    <w:rsid w:val="00190AC1"/>
    <w:rsid w:val="0019341A"/>
    <w:rsid w:val="00197DF9"/>
    <w:rsid w:val="001A1987"/>
    <w:rsid w:val="001A2564"/>
    <w:rsid w:val="001A6173"/>
    <w:rsid w:val="001A6CBA"/>
    <w:rsid w:val="001B0D97"/>
    <w:rsid w:val="001B5A5D"/>
    <w:rsid w:val="001C1CE5"/>
    <w:rsid w:val="001C3D2A"/>
    <w:rsid w:val="001D4ACA"/>
    <w:rsid w:val="001D51BA"/>
    <w:rsid w:val="001D6342"/>
    <w:rsid w:val="001D6D53"/>
    <w:rsid w:val="001E0191"/>
    <w:rsid w:val="001E3945"/>
    <w:rsid w:val="001E58E2"/>
    <w:rsid w:val="001E7AED"/>
    <w:rsid w:val="001F38C5"/>
    <w:rsid w:val="001F3916"/>
    <w:rsid w:val="001F47D2"/>
    <w:rsid w:val="001F54C5"/>
    <w:rsid w:val="001F662C"/>
    <w:rsid w:val="001F7074"/>
    <w:rsid w:val="00200490"/>
    <w:rsid w:val="00201A30"/>
    <w:rsid w:val="00201B82"/>
    <w:rsid w:val="00201F3A"/>
    <w:rsid w:val="00203F96"/>
    <w:rsid w:val="002069B2"/>
    <w:rsid w:val="00207FA3"/>
    <w:rsid w:val="00210A11"/>
    <w:rsid w:val="0021416E"/>
    <w:rsid w:val="00214DA8"/>
    <w:rsid w:val="00215423"/>
    <w:rsid w:val="002158FA"/>
    <w:rsid w:val="00220600"/>
    <w:rsid w:val="002224DB"/>
    <w:rsid w:val="00223FCB"/>
    <w:rsid w:val="00224B95"/>
    <w:rsid w:val="002252C3"/>
    <w:rsid w:val="00225C54"/>
    <w:rsid w:val="00226BAF"/>
    <w:rsid w:val="00230765"/>
    <w:rsid w:val="002319E4"/>
    <w:rsid w:val="00235632"/>
    <w:rsid w:val="00235872"/>
    <w:rsid w:val="0024020F"/>
    <w:rsid w:val="00241559"/>
    <w:rsid w:val="002435B3"/>
    <w:rsid w:val="0024418D"/>
    <w:rsid w:val="002458EB"/>
    <w:rsid w:val="002500C8"/>
    <w:rsid w:val="00251F81"/>
    <w:rsid w:val="0025572C"/>
    <w:rsid w:val="00256492"/>
    <w:rsid w:val="00256CE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299"/>
    <w:rsid w:val="002907B5"/>
    <w:rsid w:val="00292EB7"/>
    <w:rsid w:val="00296227"/>
    <w:rsid w:val="00296F44"/>
    <w:rsid w:val="0029777D"/>
    <w:rsid w:val="002A055E"/>
    <w:rsid w:val="002A1D4E"/>
    <w:rsid w:val="002A2869"/>
    <w:rsid w:val="002B24D6"/>
    <w:rsid w:val="002B39AF"/>
    <w:rsid w:val="002C3DEE"/>
    <w:rsid w:val="002C41E6"/>
    <w:rsid w:val="002C4708"/>
    <w:rsid w:val="002D071A"/>
    <w:rsid w:val="002D34B2"/>
    <w:rsid w:val="002D7637"/>
    <w:rsid w:val="002E17F2"/>
    <w:rsid w:val="002E7CAE"/>
    <w:rsid w:val="002F0593"/>
    <w:rsid w:val="002F0BC2"/>
    <w:rsid w:val="002F1FC9"/>
    <w:rsid w:val="002F2771"/>
    <w:rsid w:val="002F37A9"/>
    <w:rsid w:val="00301CE6"/>
    <w:rsid w:val="0030256B"/>
    <w:rsid w:val="0030501F"/>
    <w:rsid w:val="00307220"/>
    <w:rsid w:val="00307BA1"/>
    <w:rsid w:val="00311702"/>
    <w:rsid w:val="00311E82"/>
    <w:rsid w:val="00313FD6"/>
    <w:rsid w:val="003143BD"/>
    <w:rsid w:val="00317A53"/>
    <w:rsid w:val="003203ED"/>
    <w:rsid w:val="00320874"/>
    <w:rsid w:val="00321808"/>
    <w:rsid w:val="00322C9F"/>
    <w:rsid w:val="00324D23"/>
    <w:rsid w:val="00331751"/>
    <w:rsid w:val="00334579"/>
    <w:rsid w:val="00335858"/>
    <w:rsid w:val="00336BDA"/>
    <w:rsid w:val="00336D86"/>
    <w:rsid w:val="00342BD7"/>
    <w:rsid w:val="00343A07"/>
    <w:rsid w:val="00346DB5"/>
    <w:rsid w:val="003477B1"/>
    <w:rsid w:val="0035491B"/>
    <w:rsid w:val="00357380"/>
    <w:rsid w:val="00357F03"/>
    <w:rsid w:val="003602D9"/>
    <w:rsid w:val="003604CE"/>
    <w:rsid w:val="0036439B"/>
    <w:rsid w:val="00370E47"/>
    <w:rsid w:val="00371499"/>
    <w:rsid w:val="003742AC"/>
    <w:rsid w:val="00377CE1"/>
    <w:rsid w:val="00380A31"/>
    <w:rsid w:val="0038479C"/>
    <w:rsid w:val="00385BF0"/>
    <w:rsid w:val="00387EF8"/>
    <w:rsid w:val="00393577"/>
    <w:rsid w:val="003939FF"/>
    <w:rsid w:val="003A0051"/>
    <w:rsid w:val="003A2223"/>
    <w:rsid w:val="003A2A0F"/>
    <w:rsid w:val="003A45A1"/>
    <w:rsid w:val="003A5B0A"/>
    <w:rsid w:val="003A6BAC"/>
    <w:rsid w:val="003A6F91"/>
    <w:rsid w:val="003A7EF3"/>
    <w:rsid w:val="003B159C"/>
    <w:rsid w:val="003B30A4"/>
    <w:rsid w:val="003B369F"/>
    <w:rsid w:val="003B36A3"/>
    <w:rsid w:val="003B460B"/>
    <w:rsid w:val="003B7CA2"/>
    <w:rsid w:val="003B7FE5"/>
    <w:rsid w:val="003C11C8"/>
    <w:rsid w:val="003C2702"/>
    <w:rsid w:val="003C3F62"/>
    <w:rsid w:val="003C7806"/>
    <w:rsid w:val="003D109F"/>
    <w:rsid w:val="003D2478"/>
    <w:rsid w:val="003D3C45"/>
    <w:rsid w:val="003D578A"/>
    <w:rsid w:val="003D5B1F"/>
    <w:rsid w:val="003E15FA"/>
    <w:rsid w:val="003E3848"/>
    <w:rsid w:val="003E38EA"/>
    <w:rsid w:val="003E55E4"/>
    <w:rsid w:val="003E6308"/>
    <w:rsid w:val="003E74E3"/>
    <w:rsid w:val="003F05C7"/>
    <w:rsid w:val="003F0783"/>
    <w:rsid w:val="003F2CD4"/>
    <w:rsid w:val="003F6BBE"/>
    <w:rsid w:val="004000E8"/>
    <w:rsid w:val="00402E2B"/>
    <w:rsid w:val="0040512B"/>
    <w:rsid w:val="00405CA5"/>
    <w:rsid w:val="00407CD3"/>
    <w:rsid w:val="00410134"/>
    <w:rsid w:val="00410B72"/>
    <w:rsid w:val="00410F18"/>
    <w:rsid w:val="0041263E"/>
    <w:rsid w:val="0041340C"/>
    <w:rsid w:val="00413AAC"/>
    <w:rsid w:val="00421105"/>
    <w:rsid w:val="004242F4"/>
    <w:rsid w:val="00427248"/>
    <w:rsid w:val="00436954"/>
    <w:rsid w:val="00437447"/>
    <w:rsid w:val="00441A92"/>
    <w:rsid w:val="00444F56"/>
    <w:rsid w:val="00446488"/>
    <w:rsid w:val="004517AA"/>
    <w:rsid w:val="00452CAC"/>
    <w:rsid w:val="00457565"/>
    <w:rsid w:val="00457B71"/>
    <w:rsid w:val="00457D85"/>
    <w:rsid w:val="00466615"/>
    <w:rsid w:val="004669E2"/>
    <w:rsid w:val="00470C31"/>
    <w:rsid w:val="004734D0"/>
    <w:rsid w:val="0047556B"/>
    <w:rsid w:val="00477768"/>
    <w:rsid w:val="00492BC5"/>
    <w:rsid w:val="004964F1"/>
    <w:rsid w:val="004A16BC"/>
    <w:rsid w:val="004A2B94"/>
    <w:rsid w:val="004B7C0C"/>
    <w:rsid w:val="004C22D0"/>
    <w:rsid w:val="004C2DB9"/>
    <w:rsid w:val="004C3898"/>
    <w:rsid w:val="004D1F50"/>
    <w:rsid w:val="004D36B1"/>
    <w:rsid w:val="004D785E"/>
    <w:rsid w:val="004D7EBD"/>
    <w:rsid w:val="004E2680"/>
    <w:rsid w:val="004E28F9"/>
    <w:rsid w:val="004E2F3A"/>
    <w:rsid w:val="004E462E"/>
    <w:rsid w:val="004E56DC"/>
    <w:rsid w:val="004E76F4"/>
    <w:rsid w:val="004F0B4E"/>
    <w:rsid w:val="004F0B6C"/>
    <w:rsid w:val="004F2078"/>
    <w:rsid w:val="004F2641"/>
    <w:rsid w:val="004F4927"/>
    <w:rsid w:val="004F4DA3"/>
    <w:rsid w:val="00500E54"/>
    <w:rsid w:val="005041E9"/>
    <w:rsid w:val="00506557"/>
    <w:rsid w:val="0050677A"/>
    <w:rsid w:val="005108D8"/>
    <w:rsid w:val="005116F9"/>
    <w:rsid w:val="005153A7"/>
    <w:rsid w:val="005219CF"/>
    <w:rsid w:val="00524D4D"/>
    <w:rsid w:val="0053226C"/>
    <w:rsid w:val="00534B59"/>
    <w:rsid w:val="00536759"/>
    <w:rsid w:val="00537C62"/>
    <w:rsid w:val="00544109"/>
    <w:rsid w:val="00544661"/>
    <w:rsid w:val="00546970"/>
    <w:rsid w:val="00554E19"/>
    <w:rsid w:val="00561124"/>
    <w:rsid w:val="0056121F"/>
    <w:rsid w:val="00572505"/>
    <w:rsid w:val="005812B8"/>
    <w:rsid w:val="00582809"/>
    <w:rsid w:val="0058798C"/>
    <w:rsid w:val="005900FA"/>
    <w:rsid w:val="005935A4"/>
    <w:rsid w:val="005948C2"/>
    <w:rsid w:val="00595DCA"/>
    <w:rsid w:val="0059601D"/>
    <w:rsid w:val="00596E18"/>
    <w:rsid w:val="0059779B"/>
    <w:rsid w:val="005A0B43"/>
    <w:rsid w:val="005A209A"/>
    <w:rsid w:val="005A3D36"/>
    <w:rsid w:val="005A539D"/>
    <w:rsid w:val="005A662D"/>
    <w:rsid w:val="005A6B5B"/>
    <w:rsid w:val="005B35D7"/>
    <w:rsid w:val="005B392A"/>
    <w:rsid w:val="005B3AA3"/>
    <w:rsid w:val="005B591A"/>
    <w:rsid w:val="005B6F83"/>
    <w:rsid w:val="005C6EE4"/>
    <w:rsid w:val="005C74FB"/>
    <w:rsid w:val="005D0D9A"/>
    <w:rsid w:val="005D1602"/>
    <w:rsid w:val="005E03C7"/>
    <w:rsid w:val="005E0659"/>
    <w:rsid w:val="005E385F"/>
    <w:rsid w:val="005E5B81"/>
    <w:rsid w:val="005F0A4F"/>
    <w:rsid w:val="005F2CB1"/>
    <w:rsid w:val="005F3025"/>
    <w:rsid w:val="005F618C"/>
    <w:rsid w:val="005F70BD"/>
    <w:rsid w:val="0060283C"/>
    <w:rsid w:val="00604F14"/>
    <w:rsid w:val="00606CF8"/>
    <w:rsid w:val="00611B83"/>
    <w:rsid w:val="00613257"/>
    <w:rsid w:val="00620652"/>
    <w:rsid w:val="00620A71"/>
    <w:rsid w:val="00620D80"/>
    <w:rsid w:val="006234A6"/>
    <w:rsid w:val="00630001"/>
    <w:rsid w:val="0063116E"/>
    <w:rsid w:val="006311B3"/>
    <w:rsid w:val="00631CA0"/>
    <w:rsid w:val="0063284C"/>
    <w:rsid w:val="00634EDF"/>
    <w:rsid w:val="0063552E"/>
    <w:rsid w:val="00636398"/>
    <w:rsid w:val="006368D3"/>
    <w:rsid w:val="006377EC"/>
    <w:rsid w:val="0064151F"/>
    <w:rsid w:val="00641533"/>
    <w:rsid w:val="0064208D"/>
    <w:rsid w:val="00643475"/>
    <w:rsid w:val="0064396A"/>
    <w:rsid w:val="0064624E"/>
    <w:rsid w:val="006504A8"/>
    <w:rsid w:val="00650AB9"/>
    <w:rsid w:val="00652CA2"/>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3D71"/>
    <w:rsid w:val="006741F2"/>
    <w:rsid w:val="00674CC3"/>
    <w:rsid w:val="0067515E"/>
    <w:rsid w:val="00675C72"/>
    <w:rsid w:val="006771F9"/>
    <w:rsid w:val="006776D7"/>
    <w:rsid w:val="00681003"/>
    <w:rsid w:val="006817C9"/>
    <w:rsid w:val="00681F32"/>
    <w:rsid w:val="00683ECE"/>
    <w:rsid w:val="00695FC2"/>
    <w:rsid w:val="00696949"/>
    <w:rsid w:val="00696E22"/>
    <w:rsid w:val="00697052"/>
    <w:rsid w:val="006A1239"/>
    <w:rsid w:val="006A3207"/>
    <w:rsid w:val="006A46FB"/>
    <w:rsid w:val="006A5E28"/>
    <w:rsid w:val="006A68F2"/>
    <w:rsid w:val="006A697B"/>
    <w:rsid w:val="006A7AFF"/>
    <w:rsid w:val="006B15AE"/>
    <w:rsid w:val="006B1816"/>
    <w:rsid w:val="006B2099"/>
    <w:rsid w:val="006B50CF"/>
    <w:rsid w:val="006C0025"/>
    <w:rsid w:val="006C03B8"/>
    <w:rsid w:val="006C5EC9"/>
    <w:rsid w:val="006C6059"/>
    <w:rsid w:val="006C7522"/>
    <w:rsid w:val="006D1E26"/>
    <w:rsid w:val="006D53CA"/>
    <w:rsid w:val="006D67EB"/>
    <w:rsid w:val="006D6F08"/>
    <w:rsid w:val="006E062C"/>
    <w:rsid w:val="006E07E6"/>
    <w:rsid w:val="006E28B7"/>
    <w:rsid w:val="006E3310"/>
    <w:rsid w:val="006E4E39"/>
    <w:rsid w:val="006E5148"/>
    <w:rsid w:val="006E565E"/>
    <w:rsid w:val="006E673D"/>
    <w:rsid w:val="006E7D3B"/>
    <w:rsid w:val="006F12AF"/>
    <w:rsid w:val="006F1B70"/>
    <w:rsid w:val="006F341D"/>
    <w:rsid w:val="006F35CE"/>
    <w:rsid w:val="006F3CDE"/>
    <w:rsid w:val="006F58D4"/>
    <w:rsid w:val="00700EF5"/>
    <w:rsid w:val="0070346E"/>
    <w:rsid w:val="00704EDB"/>
    <w:rsid w:val="00706101"/>
    <w:rsid w:val="0070622B"/>
    <w:rsid w:val="00707072"/>
    <w:rsid w:val="00707D61"/>
    <w:rsid w:val="00712287"/>
    <w:rsid w:val="00712772"/>
    <w:rsid w:val="007148D3"/>
    <w:rsid w:val="00715B9A"/>
    <w:rsid w:val="00726EA6"/>
    <w:rsid w:val="00727208"/>
    <w:rsid w:val="00727680"/>
    <w:rsid w:val="00727A03"/>
    <w:rsid w:val="007348B1"/>
    <w:rsid w:val="007362A6"/>
    <w:rsid w:val="00736D7D"/>
    <w:rsid w:val="00740E58"/>
    <w:rsid w:val="007445A0"/>
    <w:rsid w:val="0074524B"/>
    <w:rsid w:val="007463AD"/>
    <w:rsid w:val="00747B13"/>
    <w:rsid w:val="00747D8B"/>
    <w:rsid w:val="00751228"/>
    <w:rsid w:val="00751517"/>
    <w:rsid w:val="00751849"/>
    <w:rsid w:val="007571E1"/>
    <w:rsid w:val="007604B2"/>
    <w:rsid w:val="00764B54"/>
    <w:rsid w:val="00765281"/>
    <w:rsid w:val="00766A67"/>
    <w:rsid w:val="00766BAD"/>
    <w:rsid w:val="007728BA"/>
    <w:rsid w:val="007730BD"/>
    <w:rsid w:val="007755F2"/>
    <w:rsid w:val="00776181"/>
    <w:rsid w:val="00776971"/>
    <w:rsid w:val="0078177E"/>
    <w:rsid w:val="0078304C"/>
    <w:rsid w:val="00783673"/>
    <w:rsid w:val="00783E08"/>
    <w:rsid w:val="00785490"/>
    <w:rsid w:val="00790FA5"/>
    <w:rsid w:val="007925EA"/>
    <w:rsid w:val="00793CD8"/>
    <w:rsid w:val="00795C92"/>
    <w:rsid w:val="00796231"/>
    <w:rsid w:val="007A1CB3"/>
    <w:rsid w:val="007A2881"/>
    <w:rsid w:val="007A306F"/>
    <w:rsid w:val="007A43A6"/>
    <w:rsid w:val="007A58A6"/>
    <w:rsid w:val="007B3D2D"/>
    <w:rsid w:val="007B50AE"/>
    <w:rsid w:val="007B51DF"/>
    <w:rsid w:val="007C05DD"/>
    <w:rsid w:val="007C2B9D"/>
    <w:rsid w:val="007C3BD7"/>
    <w:rsid w:val="007C3D18"/>
    <w:rsid w:val="007C5D84"/>
    <w:rsid w:val="007C60BF"/>
    <w:rsid w:val="007C6A07"/>
    <w:rsid w:val="007C75A1"/>
    <w:rsid w:val="007C77A5"/>
    <w:rsid w:val="007D04E5"/>
    <w:rsid w:val="007D1B7F"/>
    <w:rsid w:val="007D5901"/>
    <w:rsid w:val="007D7526"/>
    <w:rsid w:val="007E40A4"/>
    <w:rsid w:val="007E4610"/>
    <w:rsid w:val="007E4715"/>
    <w:rsid w:val="007E505B"/>
    <w:rsid w:val="007E7091"/>
    <w:rsid w:val="00803FAE"/>
    <w:rsid w:val="0080605F"/>
    <w:rsid w:val="00807786"/>
    <w:rsid w:val="00811FCB"/>
    <w:rsid w:val="00812284"/>
    <w:rsid w:val="008158D6"/>
    <w:rsid w:val="00817196"/>
    <w:rsid w:val="008235DB"/>
    <w:rsid w:val="0082452A"/>
    <w:rsid w:val="00824AB4"/>
    <w:rsid w:val="00825C42"/>
    <w:rsid w:val="00825D25"/>
    <w:rsid w:val="00826CBB"/>
    <w:rsid w:val="00827D6F"/>
    <w:rsid w:val="00831B89"/>
    <w:rsid w:val="008376AC"/>
    <w:rsid w:val="008444E8"/>
    <w:rsid w:val="00844E80"/>
    <w:rsid w:val="00846FE7"/>
    <w:rsid w:val="0085314A"/>
    <w:rsid w:val="00854F97"/>
    <w:rsid w:val="00856911"/>
    <w:rsid w:val="008677FD"/>
    <w:rsid w:val="008706D4"/>
    <w:rsid w:val="00870F8A"/>
    <w:rsid w:val="008719A4"/>
    <w:rsid w:val="00871D23"/>
    <w:rsid w:val="00874312"/>
    <w:rsid w:val="0087437C"/>
    <w:rsid w:val="008748B6"/>
    <w:rsid w:val="00875CD7"/>
    <w:rsid w:val="00876B4D"/>
    <w:rsid w:val="00877F18"/>
    <w:rsid w:val="00884D0A"/>
    <w:rsid w:val="008866E7"/>
    <w:rsid w:val="00894A88"/>
    <w:rsid w:val="00895386"/>
    <w:rsid w:val="0089763F"/>
    <w:rsid w:val="008A1976"/>
    <w:rsid w:val="008A21FF"/>
    <w:rsid w:val="008A2CE2"/>
    <w:rsid w:val="008A30AC"/>
    <w:rsid w:val="008A44B8"/>
    <w:rsid w:val="008A4AD1"/>
    <w:rsid w:val="008A51A8"/>
    <w:rsid w:val="008A54C7"/>
    <w:rsid w:val="008A77D8"/>
    <w:rsid w:val="008B0483"/>
    <w:rsid w:val="008B120C"/>
    <w:rsid w:val="008B51A0"/>
    <w:rsid w:val="008B592A"/>
    <w:rsid w:val="008B7B5C"/>
    <w:rsid w:val="008C0C99"/>
    <w:rsid w:val="008C2017"/>
    <w:rsid w:val="008C4958"/>
    <w:rsid w:val="008C4BAA"/>
    <w:rsid w:val="008C4CA4"/>
    <w:rsid w:val="008C6AE8"/>
    <w:rsid w:val="008C7573"/>
    <w:rsid w:val="008D00E1"/>
    <w:rsid w:val="008D34F1"/>
    <w:rsid w:val="008D39D8"/>
    <w:rsid w:val="008D46A9"/>
    <w:rsid w:val="008D6D1A"/>
    <w:rsid w:val="008E065E"/>
    <w:rsid w:val="008E0927"/>
    <w:rsid w:val="008E1909"/>
    <w:rsid w:val="008E562A"/>
    <w:rsid w:val="008F1EAB"/>
    <w:rsid w:val="008F2CCE"/>
    <w:rsid w:val="008F33DC"/>
    <w:rsid w:val="008F477F"/>
    <w:rsid w:val="008F6B93"/>
    <w:rsid w:val="00902350"/>
    <w:rsid w:val="0090336B"/>
    <w:rsid w:val="009053AA"/>
    <w:rsid w:val="00906939"/>
    <w:rsid w:val="00910B7D"/>
    <w:rsid w:val="00911DFB"/>
    <w:rsid w:val="009139D9"/>
    <w:rsid w:val="00914AD8"/>
    <w:rsid w:val="00914DB8"/>
    <w:rsid w:val="00916079"/>
    <w:rsid w:val="00916FF9"/>
    <w:rsid w:val="00917CE9"/>
    <w:rsid w:val="00920BF2"/>
    <w:rsid w:val="00922010"/>
    <w:rsid w:val="00931BD9"/>
    <w:rsid w:val="009368F3"/>
    <w:rsid w:val="009407B1"/>
    <w:rsid w:val="00941636"/>
    <w:rsid w:val="0094183A"/>
    <w:rsid w:val="00943742"/>
    <w:rsid w:val="00945C05"/>
    <w:rsid w:val="00946945"/>
    <w:rsid w:val="00947713"/>
    <w:rsid w:val="009508C7"/>
    <w:rsid w:val="00950DE7"/>
    <w:rsid w:val="00951704"/>
    <w:rsid w:val="00953920"/>
    <w:rsid w:val="00953D47"/>
    <w:rsid w:val="00953DA8"/>
    <w:rsid w:val="0095681E"/>
    <w:rsid w:val="009572D4"/>
    <w:rsid w:val="00961589"/>
    <w:rsid w:val="00961921"/>
    <w:rsid w:val="0096430A"/>
    <w:rsid w:val="0096554B"/>
    <w:rsid w:val="0096584A"/>
    <w:rsid w:val="00971F08"/>
    <w:rsid w:val="0097603D"/>
    <w:rsid w:val="00976949"/>
    <w:rsid w:val="00980477"/>
    <w:rsid w:val="00985253"/>
    <w:rsid w:val="009853B3"/>
    <w:rsid w:val="0099052B"/>
    <w:rsid w:val="00990630"/>
    <w:rsid w:val="00991761"/>
    <w:rsid w:val="0099363E"/>
    <w:rsid w:val="00994DCA"/>
    <w:rsid w:val="009960EC"/>
    <w:rsid w:val="009970DD"/>
    <w:rsid w:val="009A0FBA"/>
    <w:rsid w:val="009A1601"/>
    <w:rsid w:val="009A4155"/>
    <w:rsid w:val="009A462D"/>
    <w:rsid w:val="009A5CBA"/>
    <w:rsid w:val="009B1F30"/>
    <w:rsid w:val="009B3AC2"/>
    <w:rsid w:val="009B453A"/>
    <w:rsid w:val="009B4DF4"/>
    <w:rsid w:val="009B564E"/>
    <w:rsid w:val="009B7E87"/>
    <w:rsid w:val="009C403E"/>
    <w:rsid w:val="009C4A3B"/>
    <w:rsid w:val="009D4471"/>
    <w:rsid w:val="009D4FF0"/>
    <w:rsid w:val="009D67A6"/>
    <w:rsid w:val="009D703C"/>
    <w:rsid w:val="009D718F"/>
    <w:rsid w:val="009E068F"/>
    <w:rsid w:val="009E14E0"/>
    <w:rsid w:val="009E2D56"/>
    <w:rsid w:val="009E314F"/>
    <w:rsid w:val="009E35DB"/>
    <w:rsid w:val="009E3755"/>
    <w:rsid w:val="009E47A3"/>
    <w:rsid w:val="009F03C1"/>
    <w:rsid w:val="009F08F3"/>
    <w:rsid w:val="009F344F"/>
    <w:rsid w:val="009F3F56"/>
    <w:rsid w:val="009F64FC"/>
    <w:rsid w:val="009F69ED"/>
    <w:rsid w:val="00A03091"/>
    <w:rsid w:val="00A048A8"/>
    <w:rsid w:val="00A04F49"/>
    <w:rsid w:val="00A070AE"/>
    <w:rsid w:val="00A13E54"/>
    <w:rsid w:val="00A17F63"/>
    <w:rsid w:val="00A2052C"/>
    <w:rsid w:val="00A2193B"/>
    <w:rsid w:val="00A2297C"/>
    <w:rsid w:val="00A2351A"/>
    <w:rsid w:val="00A2353B"/>
    <w:rsid w:val="00A24386"/>
    <w:rsid w:val="00A264A9"/>
    <w:rsid w:val="00A27785"/>
    <w:rsid w:val="00A30187"/>
    <w:rsid w:val="00A32B8B"/>
    <w:rsid w:val="00A3448A"/>
    <w:rsid w:val="00A36297"/>
    <w:rsid w:val="00A41E2B"/>
    <w:rsid w:val="00A42B9D"/>
    <w:rsid w:val="00A45B74"/>
    <w:rsid w:val="00A52C05"/>
    <w:rsid w:val="00A52E1D"/>
    <w:rsid w:val="00A54247"/>
    <w:rsid w:val="00A61499"/>
    <w:rsid w:val="00A62A77"/>
    <w:rsid w:val="00A63483"/>
    <w:rsid w:val="00A657D7"/>
    <w:rsid w:val="00A660AC"/>
    <w:rsid w:val="00A66F55"/>
    <w:rsid w:val="00A67E6C"/>
    <w:rsid w:val="00A7047D"/>
    <w:rsid w:val="00A71B99"/>
    <w:rsid w:val="00A7256D"/>
    <w:rsid w:val="00A72E67"/>
    <w:rsid w:val="00A7377D"/>
    <w:rsid w:val="00A739D0"/>
    <w:rsid w:val="00A761D4"/>
    <w:rsid w:val="00A77EC4"/>
    <w:rsid w:val="00A904E2"/>
    <w:rsid w:val="00A90F35"/>
    <w:rsid w:val="00A91A86"/>
    <w:rsid w:val="00A9265A"/>
    <w:rsid w:val="00A92879"/>
    <w:rsid w:val="00A92ED0"/>
    <w:rsid w:val="00A9442A"/>
    <w:rsid w:val="00AA016F"/>
    <w:rsid w:val="00AA1ED6"/>
    <w:rsid w:val="00AA51D6"/>
    <w:rsid w:val="00AB0BC8"/>
    <w:rsid w:val="00AB11CA"/>
    <w:rsid w:val="00AB14D9"/>
    <w:rsid w:val="00AB1FA1"/>
    <w:rsid w:val="00AB4AB8"/>
    <w:rsid w:val="00AB655E"/>
    <w:rsid w:val="00AC007F"/>
    <w:rsid w:val="00AC2ECD"/>
    <w:rsid w:val="00AC3119"/>
    <w:rsid w:val="00AC3AE6"/>
    <w:rsid w:val="00AC49FB"/>
    <w:rsid w:val="00AC5A10"/>
    <w:rsid w:val="00AD0AA3"/>
    <w:rsid w:val="00AD3F94"/>
    <w:rsid w:val="00AD4A5A"/>
    <w:rsid w:val="00AE27AC"/>
    <w:rsid w:val="00AE3743"/>
    <w:rsid w:val="00AE40E0"/>
    <w:rsid w:val="00AE4BA8"/>
    <w:rsid w:val="00AE4DBA"/>
    <w:rsid w:val="00AE4F07"/>
    <w:rsid w:val="00AE557A"/>
    <w:rsid w:val="00AF15F8"/>
    <w:rsid w:val="00AF1C5D"/>
    <w:rsid w:val="00AF39C8"/>
    <w:rsid w:val="00AF42D7"/>
    <w:rsid w:val="00B006FE"/>
    <w:rsid w:val="00B007CB"/>
    <w:rsid w:val="00B02AA9"/>
    <w:rsid w:val="00B02FA3"/>
    <w:rsid w:val="00B05084"/>
    <w:rsid w:val="00B1211B"/>
    <w:rsid w:val="00B157F9"/>
    <w:rsid w:val="00B20256"/>
    <w:rsid w:val="00B20D09"/>
    <w:rsid w:val="00B2763F"/>
    <w:rsid w:val="00B27AAC"/>
    <w:rsid w:val="00B30929"/>
    <w:rsid w:val="00B34996"/>
    <w:rsid w:val="00B372AA"/>
    <w:rsid w:val="00B40445"/>
    <w:rsid w:val="00B41888"/>
    <w:rsid w:val="00B44548"/>
    <w:rsid w:val="00B45A52"/>
    <w:rsid w:val="00B46175"/>
    <w:rsid w:val="00B46C17"/>
    <w:rsid w:val="00B54353"/>
    <w:rsid w:val="00B6188F"/>
    <w:rsid w:val="00B653BD"/>
    <w:rsid w:val="00B664C7"/>
    <w:rsid w:val="00B739F6"/>
    <w:rsid w:val="00B77862"/>
    <w:rsid w:val="00B81A6C"/>
    <w:rsid w:val="00B82B08"/>
    <w:rsid w:val="00B85DE5"/>
    <w:rsid w:val="00B90F73"/>
    <w:rsid w:val="00B93B59"/>
    <w:rsid w:val="00B9406A"/>
    <w:rsid w:val="00BA2280"/>
    <w:rsid w:val="00BA2A08"/>
    <w:rsid w:val="00BA56D2"/>
    <w:rsid w:val="00BA76E0"/>
    <w:rsid w:val="00BB2A25"/>
    <w:rsid w:val="00BB51E9"/>
    <w:rsid w:val="00BB6036"/>
    <w:rsid w:val="00BC0FDC"/>
    <w:rsid w:val="00BC3053"/>
    <w:rsid w:val="00BC4D2E"/>
    <w:rsid w:val="00BD3F9F"/>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15A97"/>
    <w:rsid w:val="00C24345"/>
    <w:rsid w:val="00C26712"/>
    <w:rsid w:val="00C279B5"/>
    <w:rsid w:val="00C27C45"/>
    <w:rsid w:val="00C3719D"/>
    <w:rsid w:val="00C50D76"/>
    <w:rsid w:val="00C53ED8"/>
    <w:rsid w:val="00C54995"/>
    <w:rsid w:val="00C54D41"/>
    <w:rsid w:val="00C60783"/>
    <w:rsid w:val="00C64672"/>
    <w:rsid w:val="00C70697"/>
    <w:rsid w:val="00C717E1"/>
    <w:rsid w:val="00C72EF4"/>
    <w:rsid w:val="00C75D2F"/>
    <w:rsid w:val="00C767BE"/>
    <w:rsid w:val="00C76E3C"/>
    <w:rsid w:val="00C7709D"/>
    <w:rsid w:val="00C81568"/>
    <w:rsid w:val="00C9027A"/>
    <w:rsid w:val="00C9068E"/>
    <w:rsid w:val="00C93C4B"/>
    <w:rsid w:val="00C944AB"/>
    <w:rsid w:val="00C95B40"/>
    <w:rsid w:val="00CA1ED8"/>
    <w:rsid w:val="00CB1F63"/>
    <w:rsid w:val="00CB36EE"/>
    <w:rsid w:val="00CB3F2E"/>
    <w:rsid w:val="00CB4523"/>
    <w:rsid w:val="00CB7170"/>
    <w:rsid w:val="00CC040E"/>
    <w:rsid w:val="00CC111F"/>
    <w:rsid w:val="00CC2011"/>
    <w:rsid w:val="00CC3EA0"/>
    <w:rsid w:val="00CC4BDF"/>
    <w:rsid w:val="00CC7B45"/>
    <w:rsid w:val="00CD1188"/>
    <w:rsid w:val="00CD2ED1"/>
    <w:rsid w:val="00CD337B"/>
    <w:rsid w:val="00CD372A"/>
    <w:rsid w:val="00CE0424"/>
    <w:rsid w:val="00CE7561"/>
    <w:rsid w:val="00CF1354"/>
    <w:rsid w:val="00CF3B1F"/>
    <w:rsid w:val="00CF3BF6"/>
    <w:rsid w:val="00CF625B"/>
    <w:rsid w:val="00CF687E"/>
    <w:rsid w:val="00D01DCC"/>
    <w:rsid w:val="00D0349B"/>
    <w:rsid w:val="00D036A1"/>
    <w:rsid w:val="00D10249"/>
    <w:rsid w:val="00D115C3"/>
    <w:rsid w:val="00D11897"/>
    <w:rsid w:val="00D13135"/>
    <w:rsid w:val="00D13591"/>
    <w:rsid w:val="00D13E4E"/>
    <w:rsid w:val="00D14AC5"/>
    <w:rsid w:val="00D17704"/>
    <w:rsid w:val="00D2202A"/>
    <w:rsid w:val="00D239A7"/>
    <w:rsid w:val="00D23F47"/>
    <w:rsid w:val="00D323F0"/>
    <w:rsid w:val="00D36E71"/>
    <w:rsid w:val="00D37D87"/>
    <w:rsid w:val="00D40B33"/>
    <w:rsid w:val="00D41753"/>
    <w:rsid w:val="00D42DD9"/>
    <w:rsid w:val="00D4318F"/>
    <w:rsid w:val="00D438BF"/>
    <w:rsid w:val="00D440F8"/>
    <w:rsid w:val="00D50109"/>
    <w:rsid w:val="00D50F97"/>
    <w:rsid w:val="00D52759"/>
    <w:rsid w:val="00D52FD0"/>
    <w:rsid w:val="00D546FF"/>
    <w:rsid w:val="00D55705"/>
    <w:rsid w:val="00D55AD5"/>
    <w:rsid w:val="00D576CA"/>
    <w:rsid w:val="00D5782C"/>
    <w:rsid w:val="00D61AF5"/>
    <w:rsid w:val="00D62F24"/>
    <w:rsid w:val="00D652B5"/>
    <w:rsid w:val="00D66155"/>
    <w:rsid w:val="00D708B0"/>
    <w:rsid w:val="00D73815"/>
    <w:rsid w:val="00D75DC5"/>
    <w:rsid w:val="00D75DFF"/>
    <w:rsid w:val="00D77B1D"/>
    <w:rsid w:val="00D8021F"/>
    <w:rsid w:val="00D80383"/>
    <w:rsid w:val="00D81E87"/>
    <w:rsid w:val="00D823C6"/>
    <w:rsid w:val="00D86CA3"/>
    <w:rsid w:val="00D871CE"/>
    <w:rsid w:val="00D9196D"/>
    <w:rsid w:val="00D92982"/>
    <w:rsid w:val="00DA305E"/>
    <w:rsid w:val="00DA427D"/>
    <w:rsid w:val="00DA5417"/>
    <w:rsid w:val="00DA56E8"/>
    <w:rsid w:val="00DA6A5A"/>
    <w:rsid w:val="00DA7BCC"/>
    <w:rsid w:val="00DB0A9F"/>
    <w:rsid w:val="00DB377D"/>
    <w:rsid w:val="00DB5C96"/>
    <w:rsid w:val="00DC2D36"/>
    <w:rsid w:val="00DC49BF"/>
    <w:rsid w:val="00DC53EF"/>
    <w:rsid w:val="00DC74ED"/>
    <w:rsid w:val="00DD210B"/>
    <w:rsid w:val="00DD5BBD"/>
    <w:rsid w:val="00DE12DE"/>
    <w:rsid w:val="00DE3DA5"/>
    <w:rsid w:val="00DE5608"/>
    <w:rsid w:val="00DE58D0"/>
    <w:rsid w:val="00DE654F"/>
    <w:rsid w:val="00DF08F0"/>
    <w:rsid w:val="00DF0B6E"/>
    <w:rsid w:val="00DF15E0"/>
    <w:rsid w:val="00DF37A0"/>
    <w:rsid w:val="00DF6555"/>
    <w:rsid w:val="00E00ACA"/>
    <w:rsid w:val="00E0172E"/>
    <w:rsid w:val="00E0649B"/>
    <w:rsid w:val="00E110E7"/>
    <w:rsid w:val="00E11B20"/>
    <w:rsid w:val="00E17FA2"/>
    <w:rsid w:val="00E20C7B"/>
    <w:rsid w:val="00E21448"/>
    <w:rsid w:val="00E22330"/>
    <w:rsid w:val="00E30B5A"/>
    <w:rsid w:val="00E3123D"/>
    <w:rsid w:val="00E31461"/>
    <w:rsid w:val="00E31479"/>
    <w:rsid w:val="00E31D43"/>
    <w:rsid w:val="00E32608"/>
    <w:rsid w:val="00E34188"/>
    <w:rsid w:val="00E34B6E"/>
    <w:rsid w:val="00E35559"/>
    <w:rsid w:val="00E3723A"/>
    <w:rsid w:val="00E37860"/>
    <w:rsid w:val="00E40906"/>
    <w:rsid w:val="00E40CA9"/>
    <w:rsid w:val="00E41566"/>
    <w:rsid w:val="00E446F1"/>
    <w:rsid w:val="00E46886"/>
    <w:rsid w:val="00E47AEF"/>
    <w:rsid w:val="00E53B75"/>
    <w:rsid w:val="00E54E3B"/>
    <w:rsid w:val="00E57565"/>
    <w:rsid w:val="00E63838"/>
    <w:rsid w:val="00E64434"/>
    <w:rsid w:val="00E66638"/>
    <w:rsid w:val="00E67C51"/>
    <w:rsid w:val="00E71F5F"/>
    <w:rsid w:val="00E726B3"/>
    <w:rsid w:val="00E72EFC"/>
    <w:rsid w:val="00E758EC"/>
    <w:rsid w:val="00E8234C"/>
    <w:rsid w:val="00E83AA9"/>
    <w:rsid w:val="00E85928"/>
    <w:rsid w:val="00E87822"/>
    <w:rsid w:val="00E90395"/>
    <w:rsid w:val="00E90E49"/>
    <w:rsid w:val="00E917F9"/>
    <w:rsid w:val="00E9291C"/>
    <w:rsid w:val="00E92D26"/>
    <w:rsid w:val="00E93FFE"/>
    <w:rsid w:val="00E94F8A"/>
    <w:rsid w:val="00EA2A66"/>
    <w:rsid w:val="00EA70F6"/>
    <w:rsid w:val="00EA7A41"/>
    <w:rsid w:val="00EB077B"/>
    <w:rsid w:val="00EB4EA2"/>
    <w:rsid w:val="00EC22D1"/>
    <w:rsid w:val="00EC27C6"/>
    <w:rsid w:val="00EC4207"/>
    <w:rsid w:val="00EC5653"/>
    <w:rsid w:val="00EC568B"/>
    <w:rsid w:val="00EC71CE"/>
    <w:rsid w:val="00EC7D51"/>
    <w:rsid w:val="00ED1006"/>
    <w:rsid w:val="00ED6221"/>
    <w:rsid w:val="00EE1BFB"/>
    <w:rsid w:val="00EE4B01"/>
    <w:rsid w:val="00EF18FE"/>
    <w:rsid w:val="00EF5787"/>
    <w:rsid w:val="00EF60D0"/>
    <w:rsid w:val="00F02DBA"/>
    <w:rsid w:val="00F0528D"/>
    <w:rsid w:val="00F06C67"/>
    <w:rsid w:val="00F06DFD"/>
    <w:rsid w:val="00F071D1"/>
    <w:rsid w:val="00F07533"/>
    <w:rsid w:val="00F10629"/>
    <w:rsid w:val="00F10A04"/>
    <w:rsid w:val="00F15FA5"/>
    <w:rsid w:val="00F209B7"/>
    <w:rsid w:val="00F2376F"/>
    <w:rsid w:val="00F24292"/>
    <w:rsid w:val="00F243D8"/>
    <w:rsid w:val="00F30828"/>
    <w:rsid w:val="00F313D6"/>
    <w:rsid w:val="00F336E2"/>
    <w:rsid w:val="00F33CBF"/>
    <w:rsid w:val="00F35908"/>
    <w:rsid w:val="00F36794"/>
    <w:rsid w:val="00F40F0C"/>
    <w:rsid w:val="00F42D16"/>
    <w:rsid w:val="00F4766C"/>
    <w:rsid w:val="00F507D1"/>
    <w:rsid w:val="00F519CE"/>
    <w:rsid w:val="00F51ADA"/>
    <w:rsid w:val="00F543FC"/>
    <w:rsid w:val="00F607C5"/>
    <w:rsid w:val="00F60DEA"/>
    <w:rsid w:val="00F6125B"/>
    <w:rsid w:val="00F6302A"/>
    <w:rsid w:val="00F64C2B"/>
    <w:rsid w:val="00F651BE"/>
    <w:rsid w:val="00F67F53"/>
    <w:rsid w:val="00F70236"/>
    <w:rsid w:val="00F703BE"/>
    <w:rsid w:val="00F71CD2"/>
    <w:rsid w:val="00F71F69"/>
    <w:rsid w:val="00F72B72"/>
    <w:rsid w:val="00F74BB9"/>
    <w:rsid w:val="00F75582"/>
    <w:rsid w:val="00F76EFA"/>
    <w:rsid w:val="00F804BE"/>
    <w:rsid w:val="00F817CE"/>
    <w:rsid w:val="00F8456C"/>
    <w:rsid w:val="00F859D8"/>
    <w:rsid w:val="00F868F5"/>
    <w:rsid w:val="00F9056A"/>
    <w:rsid w:val="00F90F8D"/>
    <w:rsid w:val="00F92394"/>
    <w:rsid w:val="00F92782"/>
    <w:rsid w:val="00F93AA9"/>
    <w:rsid w:val="00F96985"/>
    <w:rsid w:val="00F97838"/>
    <w:rsid w:val="00FA2BB3"/>
    <w:rsid w:val="00FB4C80"/>
    <w:rsid w:val="00FB6A6A"/>
    <w:rsid w:val="00FC7429"/>
    <w:rsid w:val="00FD07F6"/>
    <w:rsid w:val="00FD1EC8"/>
    <w:rsid w:val="00FD47ED"/>
    <w:rsid w:val="00FD6626"/>
    <w:rsid w:val="00FD74DB"/>
    <w:rsid w:val="00FD7660"/>
    <w:rsid w:val="00FE0655"/>
    <w:rsid w:val="00FE2365"/>
    <w:rsid w:val="00FE4C7B"/>
    <w:rsid w:val="00FE7336"/>
    <w:rsid w:val="00FE787C"/>
    <w:rsid w:val="00FF22B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EDF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link w:val="TALCar"/>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link w:val="TAHC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Doc-title">
    <w:name w:val="Doc-title"/>
    <w:basedOn w:val="Normal"/>
    <w:next w:val="Doc-text2"/>
    <w:link w:val="Doc-titleChar"/>
    <w:qFormat/>
    <w:rsid w:val="005812B8"/>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5812B8"/>
    <w:rPr>
      <w:rFonts w:ascii="Arial" w:eastAsia="MS Mincho" w:hAnsi="Arial"/>
      <w:noProof/>
      <w:szCs w:val="24"/>
      <w:lang w:val="en-GB" w:eastAsia="en-GB"/>
    </w:rPr>
  </w:style>
  <w:style w:type="table" w:styleId="TableGrid">
    <w:name w:val="Table Grid"/>
    <w:basedOn w:val="TableNormal"/>
    <w:rsid w:val="009D67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751849"/>
    <w:rPr>
      <w:rFonts w:ascii="Arial" w:hAnsi="Arial"/>
      <w:b/>
      <w:lang w:val="en-GB"/>
    </w:rPr>
  </w:style>
  <w:style w:type="paragraph" w:customStyle="1" w:styleId="PL">
    <w:name w:val="PL"/>
    <w:link w:val="PLChar"/>
    <w:rsid w:val="00532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53226C"/>
    <w:rPr>
      <w:rFonts w:ascii="Courier New" w:hAnsi="Courier New"/>
      <w:noProof/>
      <w:sz w:val="16"/>
      <w:lang w:val="en-GB"/>
    </w:rPr>
  </w:style>
  <w:style w:type="character" w:customStyle="1" w:styleId="TALCar">
    <w:name w:val="TAL Car"/>
    <w:link w:val="TAL"/>
    <w:rsid w:val="0053226C"/>
    <w:rPr>
      <w:rFonts w:ascii="Arial" w:hAnsi="Arial"/>
      <w:sz w:val="18"/>
      <w:lang w:val="en-GB"/>
    </w:rPr>
  </w:style>
  <w:style w:type="character" w:customStyle="1" w:styleId="TAHCar">
    <w:name w:val="TAH Car"/>
    <w:link w:val="TAH"/>
    <w:locked/>
    <w:rsid w:val="0053226C"/>
    <w:rPr>
      <w:rFonts w:ascii="Arial" w:hAnsi="Arial"/>
      <w:b/>
      <w:sz w:val="18"/>
      <w:lang w:val="en-GB"/>
    </w:rPr>
  </w:style>
  <w:style w:type="paragraph" w:customStyle="1" w:styleId="NO">
    <w:name w:val="NO"/>
    <w:basedOn w:val="Normal"/>
    <w:link w:val="NOChar"/>
    <w:rsid w:val="00953DA8"/>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953DA8"/>
    <w:rPr>
      <w:rFonts w:ascii="Times New Roman" w:hAnsi="Times New Roman"/>
      <w:lang w:val="en-GB"/>
    </w:rPr>
  </w:style>
  <w:style w:type="paragraph" w:styleId="ListParagraph">
    <w:name w:val="List Paragraph"/>
    <w:basedOn w:val="Normal"/>
    <w:uiPriority w:val="34"/>
    <w:qFormat/>
    <w:rsid w:val="00E314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5NUHHDQN7SK2-1476151046-22782</_dlc_DocId>
    <_dlc_DocIdUrl xmlns="f166a696-7b5b-4ccd-9f0c-ffde0cceec81">
      <Url>https://ericsson.sharepoint.com/sites/star/_layouts/15/DocIdRedir.aspx?ID=5NUHHDQN7SK2-1476151046-22782</Url>
      <Description>5NUHHDQN7SK2-1476151046-22782</Description>
    </_dlc_DocIdUrl>
    <TaxCatchAll xmlns="d8762117-8292-4133-b1c7-eab5c6487cfd">
      <Value>608</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a6a71a98-ccde-4b9a-9a8e-49f3b3da331c</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351C3-8CE8-40AA-AF6C-869C8C0CC33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98AED5C8-0494-45EB-943B-FC88E12F9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32A915-E713-4012-B296-7E08A7774E65}">
  <ds:schemaRefs>
    <ds:schemaRef ds:uri="Microsoft.SharePoint.Taxonomy.ContentTypeSync"/>
  </ds:schemaRefs>
</ds:datastoreItem>
</file>

<file path=customXml/itemProps4.xml><?xml version="1.0" encoding="utf-8"?>
<ds:datastoreItem xmlns:ds="http://schemas.openxmlformats.org/officeDocument/2006/customXml" ds:itemID="{7A26274E-EE54-49BF-BE54-9E7D35C9332F}">
  <ds:schemaRefs>
    <ds:schemaRef ds:uri="http://schemas.microsoft.com/sharepoint/events"/>
  </ds:schemaRefs>
</ds:datastoreItem>
</file>

<file path=customXml/itemProps5.xml><?xml version="1.0" encoding="utf-8"?>
<ds:datastoreItem xmlns:ds="http://schemas.openxmlformats.org/officeDocument/2006/customXml" ds:itemID="{079C7CCC-1118-426C-9F06-55B1D1EA9690}">
  <ds:schemaRefs>
    <ds:schemaRef ds:uri="http://schemas.microsoft.com/sharepoint/v3/contenttype/forms"/>
  </ds:schemaRefs>
</ds:datastoreItem>
</file>

<file path=customXml/itemProps6.xml><?xml version="1.0" encoding="utf-8"?>
<ds:datastoreItem xmlns:ds="http://schemas.openxmlformats.org/officeDocument/2006/customXml" ds:itemID="{CC551E9C-357A-483D-8FCA-807D7B2A5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1357</Words>
  <Characters>7741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2018-05-07T20:11:00Z</dcterms:created>
  <dcterms:modified xsi:type="dcterms:W3CDTF">2018-05-11T06:13:00Z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1522155474</vt:lpwstr>
  </property>
  <property fmtid="{D5CDD505-2E9C-101B-9397-08002B2CF9AE}" pid="6" name="TitusGUID">
    <vt:lpwstr>5435ac61-be97-4ee7-9ac5-fed34046eb46</vt:lpwstr>
  </property>
  <property fmtid="{D5CDD505-2E9C-101B-9397-08002B2CF9AE}" pid="7" name="CTP_TimeStamp">
    <vt:lpwstr>2018-03-28 22:41:30Z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0x010100C5F30C9B16E14C8EACE5F2CC7B7AC7F400F5862E332FC6CE449700A00A9FC83FBA</vt:lpwstr>
  </property>
  <property fmtid="{D5CDD505-2E9C-101B-9397-08002B2CF9AE}" pid="13" name="_dlc_DocIdItemGuid">
    <vt:lpwstr>0ef218d9-acc5-4489-9a94-18bae3181676</vt:lpwstr>
  </property>
  <property fmtid="{D5CDD505-2E9C-101B-9397-08002B2CF9AE}" pid="14" name="EriCOLLCategory">
    <vt:lpwstr/>
  </property>
  <property fmtid="{D5CDD505-2E9C-101B-9397-08002B2CF9AE}" pid="15" name="TaxKeyword">
    <vt:lpwstr>608;#CTPClassification=CTP_NT|a6a71a98-ccde-4b9a-9a8e-49f3b3da331c</vt:lpwstr>
  </property>
  <property fmtid="{D5CDD505-2E9C-101B-9397-08002B2CF9AE}" pid="16" name="EriCOLLCountry">
    <vt:lpwstr/>
  </property>
  <property fmtid="{D5CDD505-2E9C-101B-9397-08002B2CF9AE}" pid="17" name="EriCOLLCompetence">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ies>
</file>